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04C27" w14:textId="21A793C2" w:rsidR="0006704B" w:rsidRDefault="00754C9D" w:rsidP="00D441AF">
      <w:pPr>
        <w:pStyle w:val="Pagedecouverture"/>
      </w:pPr>
      <w:bookmarkStart w:id="0" w:name="LW_BM_COVERPAGE"/>
      <w:r>
        <w:pict w14:anchorId="339317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C7F648D-4309-4357-92D9-AD41CE55B12B" style="width:450.5pt;height:334.5pt">
            <v:imagedata r:id="rId8" o:title=""/>
          </v:shape>
        </w:pict>
      </w:r>
    </w:p>
    <w:bookmarkEnd w:id="0"/>
    <w:p w14:paraId="655AEEE1" w14:textId="77777777" w:rsidR="0006704B" w:rsidRDefault="0006704B" w:rsidP="0006704B">
      <w:pPr>
        <w:sectPr w:rsidR="0006704B" w:rsidSect="00D441AF">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7D36B95E" w14:textId="1326E25A" w:rsidR="008416FC" w:rsidRPr="006340BE" w:rsidRDefault="008416FC" w:rsidP="000E2C91">
      <w:pPr>
        <w:pStyle w:val="Style1"/>
        <w:spacing w:before="240"/>
        <w:ind w:left="357" w:hanging="357"/>
        <w:rPr>
          <w:color w:val="000000" w:themeColor="text1"/>
        </w:rPr>
      </w:pPr>
      <w:bookmarkStart w:id="1" w:name="_Toc49770381"/>
      <w:bookmarkStart w:id="2" w:name="_Toc51534321"/>
      <w:r w:rsidRPr="006340BE">
        <w:rPr>
          <w:color w:val="000000" w:themeColor="text1"/>
        </w:rPr>
        <w:lastRenderedPageBreak/>
        <w:t>The European Research Area in a new context</w:t>
      </w:r>
      <w:bookmarkEnd w:id="1"/>
      <w:bookmarkEnd w:id="2"/>
    </w:p>
    <w:p w14:paraId="46F55F86" w14:textId="2F610289" w:rsidR="00741539" w:rsidRPr="006340BE" w:rsidRDefault="00385A0C">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The European Research Area (ERA) was launched in 2000, in the context of the Lisbon strategy, to address the fragmentation of the EU’s research and innovation system, which </w:t>
      </w:r>
      <w:r w:rsidR="009E4B99" w:rsidRPr="006340BE">
        <w:rPr>
          <w:rFonts w:ascii="Times New Roman" w:hAnsi="Times New Roman" w:cs="Times New Roman"/>
          <w:color w:val="000000" w:themeColor="text1"/>
          <w:sz w:val="24"/>
          <w:szCs w:val="24"/>
        </w:rPr>
        <w:t>at the time consisted of</w:t>
      </w:r>
      <w:r w:rsidR="009A3C9C" w:rsidRPr="006340BE">
        <w:rPr>
          <w:rFonts w:ascii="Times New Roman" w:hAnsi="Times New Roman" w:cs="Times New Roman"/>
          <w:color w:val="000000" w:themeColor="text1"/>
          <w:sz w:val="24"/>
          <w:szCs w:val="24"/>
        </w:rPr>
        <w:t xml:space="preserve"> the juxtaposition </w:t>
      </w:r>
      <w:r w:rsidRPr="006340BE">
        <w:rPr>
          <w:rFonts w:ascii="Times New Roman" w:hAnsi="Times New Roman" w:cs="Times New Roman"/>
          <w:color w:val="000000" w:themeColor="text1"/>
          <w:sz w:val="24"/>
          <w:szCs w:val="24"/>
        </w:rPr>
        <w:t xml:space="preserve">of </w:t>
      </w:r>
      <w:r w:rsidR="009A3C9C" w:rsidRPr="006340BE">
        <w:rPr>
          <w:rFonts w:ascii="Times New Roman" w:hAnsi="Times New Roman" w:cs="Times New Roman"/>
          <w:color w:val="000000" w:themeColor="text1"/>
          <w:sz w:val="24"/>
          <w:szCs w:val="24"/>
        </w:rPr>
        <w:t xml:space="preserve">the national </w:t>
      </w:r>
      <w:proofErr w:type="gramStart"/>
      <w:r w:rsidR="006C3BB0" w:rsidRPr="006340BE">
        <w:rPr>
          <w:rFonts w:ascii="Times New Roman" w:hAnsi="Times New Roman" w:cs="Times New Roman"/>
          <w:color w:val="000000" w:themeColor="text1"/>
          <w:sz w:val="24"/>
          <w:szCs w:val="24"/>
        </w:rPr>
        <w:t>R&amp;I</w:t>
      </w:r>
      <w:proofErr w:type="gramEnd"/>
      <w:r w:rsidR="006C3BB0" w:rsidRPr="006340BE">
        <w:rPr>
          <w:rFonts w:ascii="Times New Roman" w:hAnsi="Times New Roman" w:cs="Times New Roman"/>
          <w:color w:val="000000" w:themeColor="text1"/>
          <w:sz w:val="24"/>
          <w:szCs w:val="24"/>
        </w:rPr>
        <w:t xml:space="preserve"> </w:t>
      </w:r>
      <w:r w:rsidR="009A3C9C" w:rsidRPr="006340BE">
        <w:rPr>
          <w:rFonts w:ascii="Times New Roman" w:hAnsi="Times New Roman" w:cs="Times New Roman"/>
          <w:color w:val="000000" w:themeColor="text1"/>
          <w:sz w:val="24"/>
          <w:szCs w:val="24"/>
        </w:rPr>
        <w:t>systems</w:t>
      </w:r>
      <w:r w:rsidR="006C3BB0" w:rsidRPr="006340BE">
        <w:rPr>
          <w:rFonts w:ascii="Times New Roman" w:hAnsi="Times New Roman" w:cs="Times New Roman"/>
          <w:color w:val="000000" w:themeColor="text1"/>
          <w:sz w:val="24"/>
          <w:szCs w:val="24"/>
        </w:rPr>
        <w:t xml:space="preserve"> and an EU level funding programme</w:t>
      </w:r>
      <w:r w:rsidR="009A3C9C" w:rsidRPr="006340BE">
        <w:rPr>
          <w:rFonts w:ascii="Times New Roman" w:hAnsi="Times New Roman" w:cs="Times New Roman"/>
          <w:color w:val="000000" w:themeColor="text1"/>
          <w:sz w:val="24"/>
          <w:szCs w:val="24"/>
        </w:rPr>
        <w:t xml:space="preserve">. </w:t>
      </w:r>
    </w:p>
    <w:p w14:paraId="5E476EEE" w14:textId="5F03B76F" w:rsidR="009A3C9C" w:rsidRPr="006340BE" w:rsidRDefault="00EB49EE">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It </w:t>
      </w:r>
      <w:r w:rsidR="006C3BB0" w:rsidRPr="006340BE">
        <w:rPr>
          <w:rFonts w:ascii="Times New Roman" w:hAnsi="Times New Roman" w:cs="Times New Roman"/>
          <w:color w:val="000000" w:themeColor="text1"/>
          <w:sz w:val="24"/>
          <w:szCs w:val="24"/>
        </w:rPr>
        <w:t>aim</w:t>
      </w:r>
      <w:r w:rsidR="00330E57" w:rsidRPr="006340BE">
        <w:rPr>
          <w:rFonts w:ascii="Times New Roman" w:hAnsi="Times New Roman" w:cs="Times New Roman"/>
          <w:color w:val="000000" w:themeColor="text1"/>
          <w:sz w:val="24"/>
          <w:szCs w:val="24"/>
        </w:rPr>
        <w:t>s</w:t>
      </w:r>
      <w:r w:rsidR="006C3BB0" w:rsidRPr="006340BE">
        <w:rPr>
          <w:rFonts w:ascii="Times New Roman" w:hAnsi="Times New Roman" w:cs="Times New Roman"/>
          <w:color w:val="000000" w:themeColor="text1"/>
          <w:sz w:val="24"/>
          <w:szCs w:val="24"/>
        </w:rPr>
        <w:t xml:space="preserve"> </w:t>
      </w:r>
      <w:r w:rsidRPr="006340BE">
        <w:rPr>
          <w:rFonts w:ascii="Times New Roman" w:hAnsi="Times New Roman" w:cs="Times New Roman"/>
          <w:color w:val="000000" w:themeColor="text1"/>
          <w:sz w:val="24"/>
          <w:szCs w:val="24"/>
        </w:rPr>
        <w:t xml:space="preserve">at </w:t>
      </w:r>
      <w:r w:rsidR="009E4B99" w:rsidRPr="006340BE">
        <w:rPr>
          <w:rFonts w:ascii="Times New Roman" w:hAnsi="Times New Roman" w:cs="Times New Roman"/>
          <w:color w:val="000000" w:themeColor="text1"/>
          <w:sz w:val="24"/>
          <w:szCs w:val="24"/>
        </w:rPr>
        <w:t>build</w:t>
      </w:r>
      <w:r w:rsidRPr="006340BE">
        <w:rPr>
          <w:rFonts w:ascii="Times New Roman" w:hAnsi="Times New Roman" w:cs="Times New Roman"/>
          <w:color w:val="000000" w:themeColor="text1"/>
          <w:sz w:val="24"/>
          <w:szCs w:val="24"/>
        </w:rPr>
        <w:t>ing</w:t>
      </w:r>
      <w:r w:rsidR="009E4B99" w:rsidRPr="006340BE">
        <w:rPr>
          <w:rFonts w:ascii="Times New Roman" w:hAnsi="Times New Roman" w:cs="Times New Roman"/>
          <w:color w:val="000000" w:themeColor="text1"/>
          <w:sz w:val="24"/>
          <w:szCs w:val="24"/>
        </w:rPr>
        <w:t xml:space="preserve"> a common scientific and technological area</w:t>
      </w:r>
      <w:r w:rsidR="0066269A" w:rsidRPr="006340BE">
        <w:rPr>
          <w:rFonts w:ascii="Times New Roman" w:hAnsi="Times New Roman" w:cs="Times New Roman"/>
          <w:color w:val="000000" w:themeColor="text1"/>
          <w:sz w:val="24"/>
          <w:szCs w:val="24"/>
        </w:rPr>
        <w:t xml:space="preserve"> for the EU</w:t>
      </w:r>
      <w:r w:rsidR="009E4B99" w:rsidRPr="006340BE">
        <w:rPr>
          <w:rFonts w:ascii="Times New Roman" w:hAnsi="Times New Roman" w:cs="Times New Roman"/>
          <w:color w:val="000000" w:themeColor="text1"/>
          <w:sz w:val="24"/>
          <w:szCs w:val="24"/>
        </w:rPr>
        <w:t xml:space="preserve">. </w:t>
      </w:r>
      <w:r w:rsidR="001228E5" w:rsidRPr="006340BE">
        <w:rPr>
          <w:rFonts w:ascii="Times New Roman" w:hAnsi="Times New Roman" w:cs="Times New Roman"/>
          <w:color w:val="000000" w:themeColor="text1"/>
          <w:sz w:val="24"/>
          <w:szCs w:val="24"/>
        </w:rPr>
        <w:t xml:space="preserve">Creating </w:t>
      </w:r>
      <w:r w:rsidR="00330E57" w:rsidRPr="006340BE">
        <w:rPr>
          <w:rFonts w:ascii="Times New Roman" w:hAnsi="Times New Roman" w:cs="Times New Roman"/>
          <w:color w:val="000000" w:themeColor="text1"/>
          <w:sz w:val="24"/>
          <w:szCs w:val="24"/>
        </w:rPr>
        <w:t xml:space="preserve">a single market for research and innovation </w:t>
      </w:r>
      <w:r w:rsidR="00490A28" w:rsidRPr="006340BE">
        <w:rPr>
          <w:rFonts w:ascii="Times New Roman" w:hAnsi="Times New Roman" w:cs="Times New Roman"/>
          <w:color w:val="000000" w:themeColor="text1"/>
          <w:sz w:val="24"/>
          <w:szCs w:val="24"/>
        </w:rPr>
        <w:t xml:space="preserve">fostering </w:t>
      </w:r>
      <w:r w:rsidR="001228E5" w:rsidRPr="006340BE">
        <w:rPr>
          <w:rFonts w:ascii="Times New Roman" w:hAnsi="Times New Roman" w:cs="Times New Roman"/>
          <w:color w:val="000000" w:themeColor="text1"/>
          <w:sz w:val="24"/>
          <w:szCs w:val="24"/>
        </w:rPr>
        <w:t xml:space="preserve">free movement of researchers, scientific knowledge and innovation, and </w:t>
      </w:r>
      <w:r w:rsidR="00330E57" w:rsidRPr="006340BE">
        <w:rPr>
          <w:rFonts w:ascii="Times New Roman" w:hAnsi="Times New Roman" w:cs="Times New Roman"/>
          <w:color w:val="000000" w:themeColor="text1"/>
          <w:sz w:val="24"/>
          <w:szCs w:val="24"/>
          <w:lang w:val="en-US"/>
        </w:rPr>
        <w:t>encourag</w:t>
      </w:r>
      <w:r w:rsidR="00490A28" w:rsidRPr="006340BE">
        <w:rPr>
          <w:rFonts w:ascii="Times New Roman" w:hAnsi="Times New Roman" w:cs="Times New Roman"/>
          <w:color w:val="000000" w:themeColor="text1"/>
          <w:sz w:val="24"/>
          <w:szCs w:val="24"/>
          <w:lang w:val="en-US"/>
        </w:rPr>
        <w:t>ing</w:t>
      </w:r>
      <w:r w:rsidR="001228E5" w:rsidRPr="006340BE">
        <w:rPr>
          <w:rFonts w:ascii="Times New Roman" w:hAnsi="Times New Roman" w:cs="Times New Roman"/>
          <w:color w:val="000000" w:themeColor="text1"/>
          <w:sz w:val="24"/>
          <w:szCs w:val="24"/>
          <w:lang w:val="en-US"/>
        </w:rPr>
        <w:t xml:space="preserve"> </w:t>
      </w:r>
      <w:r w:rsidR="00490A28" w:rsidRPr="006340BE">
        <w:rPr>
          <w:rFonts w:ascii="Times New Roman" w:hAnsi="Times New Roman" w:cs="Times New Roman"/>
          <w:color w:val="000000" w:themeColor="text1"/>
          <w:sz w:val="24"/>
          <w:szCs w:val="24"/>
        </w:rPr>
        <w:t>a</w:t>
      </w:r>
      <w:r w:rsidR="00330E57" w:rsidRPr="006340BE">
        <w:rPr>
          <w:rFonts w:ascii="Times New Roman" w:hAnsi="Times New Roman" w:cs="Times New Roman"/>
          <w:color w:val="000000" w:themeColor="text1"/>
          <w:sz w:val="24"/>
          <w:szCs w:val="24"/>
          <w:lang w:val="en-US"/>
        </w:rPr>
        <w:t xml:space="preserve"> more competitive</w:t>
      </w:r>
      <w:r w:rsidR="00490A28" w:rsidRPr="006340BE">
        <w:rPr>
          <w:rFonts w:ascii="Times New Roman" w:hAnsi="Times New Roman" w:cs="Times New Roman"/>
          <w:color w:val="000000" w:themeColor="text1"/>
          <w:sz w:val="24"/>
          <w:szCs w:val="24"/>
          <w:lang w:val="en-US"/>
        </w:rPr>
        <w:t xml:space="preserve"> European</w:t>
      </w:r>
      <w:r w:rsidR="00330E57" w:rsidRPr="006340BE">
        <w:rPr>
          <w:rFonts w:ascii="Times New Roman" w:hAnsi="Times New Roman" w:cs="Times New Roman"/>
          <w:color w:val="000000" w:themeColor="text1"/>
          <w:sz w:val="24"/>
          <w:szCs w:val="24"/>
          <w:lang w:val="en-US"/>
        </w:rPr>
        <w:t xml:space="preserve"> industry. This involves</w:t>
      </w:r>
      <w:r w:rsidR="00330E57" w:rsidRPr="006340BE">
        <w:rPr>
          <w:rFonts w:ascii="Times New Roman" w:hAnsi="Times New Roman" w:cs="Times New Roman"/>
          <w:color w:val="000000" w:themeColor="text1"/>
          <w:sz w:val="24"/>
          <w:szCs w:val="24"/>
        </w:rPr>
        <w:t xml:space="preserve"> </w:t>
      </w:r>
      <w:r w:rsidR="006C3BB0" w:rsidRPr="006340BE">
        <w:rPr>
          <w:rFonts w:ascii="Times New Roman" w:hAnsi="Times New Roman" w:cs="Times New Roman"/>
          <w:color w:val="000000" w:themeColor="text1"/>
          <w:sz w:val="24"/>
          <w:szCs w:val="24"/>
        </w:rPr>
        <w:t>restructuring the European research landscape towards more cross-border cooperation, continent-wide competition, building of critical mass and coordination, and the improvement of national research policies and systems.</w:t>
      </w:r>
      <w:r w:rsidR="0081737C" w:rsidRPr="006340BE">
        <w:rPr>
          <w:rFonts w:ascii="Times New Roman" w:hAnsi="Times New Roman" w:cs="Times New Roman"/>
          <w:color w:val="000000" w:themeColor="text1"/>
          <w:sz w:val="24"/>
          <w:szCs w:val="24"/>
        </w:rPr>
        <w:t xml:space="preserve"> </w:t>
      </w:r>
    </w:p>
    <w:p w14:paraId="70B9867B" w14:textId="5B5F40D2" w:rsidR="00330E57" w:rsidRPr="006340BE" w:rsidRDefault="00881B3C">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Since 2009, achieving the ERA has also become an explicit Treaty objective, as expressed in Article 179 TFEU.</w:t>
      </w:r>
    </w:p>
    <w:p w14:paraId="7540393E" w14:textId="1F43F682" w:rsidR="009A3C9C" w:rsidRPr="006340BE" w:rsidRDefault="009A3C9C">
      <w:pPr>
        <w:pStyle w:val="CommentText"/>
        <w:spacing w:before="120" w:after="0"/>
        <w:jc w:val="both"/>
        <w:rPr>
          <w:rFonts w:ascii="Times New Roman" w:hAnsi="Times New Roman" w:cs="Times New Roman"/>
          <w:i/>
          <w:color w:val="000000" w:themeColor="text1"/>
          <w:sz w:val="24"/>
          <w:szCs w:val="24"/>
        </w:rPr>
      </w:pPr>
      <w:r w:rsidRPr="006340BE">
        <w:rPr>
          <w:rFonts w:ascii="Times New Roman" w:hAnsi="Times New Roman" w:cs="Times New Roman"/>
          <w:i/>
          <w:color w:val="000000" w:themeColor="text1"/>
          <w:sz w:val="24"/>
          <w:szCs w:val="24"/>
        </w:rPr>
        <w:t xml:space="preserve">The ERA: 20 years </w:t>
      </w:r>
      <w:r w:rsidR="00F216FB">
        <w:rPr>
          <w:rFonts w:ascii="Times New Roman" w:hAnsi="Times New Roman" w:cs="Times New Roman"/>
          <w:i/>
          <w:color w:val="000000" w:themeColor="text1"/>
          <w:sz w:val="24"/>
          <w:szCs w:val="24"/>
        </w:rPr>
        <w:t>o</w:t>
      </w:r>
      <w:r w:rsidR="00FC721F">
        <w:rPr>
          <w:rFonts w:ascii="Times New Roman" w:hAnsi="Times New Roman" w:cs="Times New Roman"/>
          <w:i/>
          <w:color w:val="000000" w:themeColor="text1"/>
          <w:sz w:val="24"/>
          <w:szCs w:val="24"/>
        </w:rPr>
        <w:t>n</w:t>
      </w:r>
    </w:p>
    <w:p w14:paraId="30BFE8F9" w14:textId="2526700B" w:rsidR="00EC62CD" w:rsidRPr="006340BE" w:rsidRDefault="00EC62CD" w:rsidP="00F74968">
      <w:pPr>
        <w:pStyle w:val="CommentText"/>
        <w:spacing w:before="120" w:after="0"/>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 xml:space="preserve">Over the past 20 </w:t>
      </w:r>
      <w:r w:rsidR="00722C2C" w:rsidRPr="006340BE">
        <w:rPr>
          <w:rFonts w:ascii="Times New Roman" w:hAnsi="Times New Roman" w:cs="Times New Roman"/>
          <w:bCs/>
          <w:color w:val="000000" w:themeColor="text1"/>
          <w:sz w:val="24"/>
          <w:szCs w:val="24"/>
        </w:rPr>
        <w:t>years,</w:t>
      </w:r>
      <w:r w:rsidRPr="006340BE">
        <w:rPr>
          <w:rFonts w:ascii="Times New Roman" w:hAnsi="Times New Roman" w:cs="Times New Roman"/>
          <w:bCs/>
          <w:color w:val="000000" w:themeColor="text1"/>
          <w:sz w:val="24"/>
          <w:szCs w:val="24"/>
        </w:rPr>
        <w:t xml:space="preserve"> t</w:t>
      </w:r>
      <w:r w:rsidR="009A3C9C" w:rsidRPr="006340BE">
        <w:rPr>
          <w:rFonts w:ascii="Times New Roman" w:hAnsi="Times New Roman" w:cs="Times New Roman"/>
          <w:bCs/>
          <w:color w:val="000000" w:themeColor="text1"/>
          <w:sz w:val="24"/>
          <w:szCs w:val="24"/>
        </w:rPr>
        <w:t>he E</w:t>
      </w:r>
      <w:r w:rsidR="006E081B" w:rsidRPr="006340BE">
        <w:rPr>
          <w:rFonts w:ascii="Times New Roman" w:hAnsi="Times New Roman" w:cs="Times New Roman"/>
          <w:bCs/>
          <w:color w:val="000000" w:themeColor="text1"/>
          <w:sz w:val="24"/>
          <w:szCs w:val="24"/>
        </w:rPr>
        <w:t xml:space="preserve">uropean Research Area </w:t>
      </w:r>
      <w:r w:rsidR="009A3C9C" w:rsidRPr="006340BE">
        <w:rPr>
          <w:rFonts w:ascii="Times New Roman" w:hAnsi="Times New Roman" w:cs="Times New Roman"/>
          <w:bCs/>
          <w:color w:val="000000" w:themeColor="text1"/>
          <w:sz w:val="24"/>
          <w:szCs w:val="24"/>
        </w:rPr>
        <w:t>has seen major achievements</w:t>
      </w:r>
      <w:r w:rsidRPr="006340BE">
        <w:rPr>
          <w:rFonts w:ascii="Times New Roman" w:hAnsi="Times New Roman" w:cs="Times New Roman"/>
          <w:bCs/>
          <w:color w:val="000000" w:themeColor="text1"/>
          <w:sz w:val="24"/>
          <w:szCs w:val="24"/>
        </w:rPr>
        <w:t xml:space="preserve">. </w:t>
      </w:r>
    </w:p>
    <w:p w14:paraId="0D3C2778" w14:textId="0D548D3B" w:rsidR="00EC62CD" w:rsidRPr="006340BE" w:rsidRDefault="00EC62CD" w:rsidP="00F74968">
      <w:pPr>
        <w:pStyle w:val="CommentText"/>
        <w:spacing w:before="120" w:after="0"/>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The work of the European Strategy Forum on Research Infrastructures (ESFRI) resulted in the development of plans for 55 European Research Infrastructures, of which 37 have already been implemented, across all fields of science, mobilising close to </w:t>
      </w:r>
      <w:r w:rsidR="00793033">
        <w:rPr>
          <w:rFonts w:ascii="Times New Roman" w:hAnsi="Times New Roman" w:cs="Times New Roman"/>
          <w:color w:val="000000" w:themeColor="text1"/>
          <w:sz w:val="24"/>
          <w:szCs w:val="24"/>
        </w:rPr>
        <w:t xml:space="preserve">EUR </w:t>
      </w:r>
      <w:r w:rsidRPr="006340BE">
        <w:rPr>
          <w:rFonts w:ascii="Times New Roman" w:hAnsi="Times New Roman" w:cs="Times New Roman"/>
          <w:color w:val="000000" w:themeColor="text1"/>
          <w:sz w:val="24"/>
          <w:szCs w:val="24"/>
        </w:rPr>
        <w:t>20 billion in investments</w:t>
      </w:r>
      <w:r w:rsidRPr="006340BE">
        <w:rPr>
          <w:color w:val="000000" w:themeColor="text1"/>
          <w:vertAlign w:val="superscript"/>
          <w:lang w:val="nl-BE"/>
        </w:rPr>
        <w:footnoteReference w:id="2"/>
      </w:r>
      <w:r w:rsidRPr="006340BE">
        <w:rPr>
          <w:rFonts w:ascii="Times New Roman" w:hAnsi="Times New Roman" w:cs="Times New Roman"/>
          <w:color w:val="000000" w:themeColor="text1"/>
          <w:sz w:val="24"/>
          <w:szCs w:val="24"/>
        </w:rPr>
        <w:t>.</w:t>
      </w:r>
    </w:p>
    <w:p w14:paraId="6CD7EF2D" w14:textId="7873E90C" w:rsidR="00722C2C" w:rsidRPr="006340BE" w:rsidRDefault="00EC62CD" w:rsidP="00F74968">
      <w:pPr>
        <w:pStyle w:val="CommentText"/>
        <w:spacing w:before="120" w:after="0"/>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Jointly addressing common challenges through coordination and pooling of resources has resulted in more than EUR 7 billion </w:t>
      </w:r>
      <w:r w:rsidR="00730D17" w:rsidRPr="006340BE">
        <w:rPr>
          <w:rFonts w:ascii="Times New Roman" w:hAnsi="Times New Roman" w:cs="Times New Roman"/>
          <w:color w:val="000000" w:themeColor="text1"/>
          <w:sz w:val="24"/>
          <w:szCs w:val="24"/>
        </w:rPr>
        <w:t>of</w:t>
      </w:r>
      <w:r w:rsidRPr="006340BE">
        <w:rPr>
          <w:rFonts w:ascii="Times New Roman" w:hAnsi="Times New Roman" w:cs="Times New Roman"/>
          <w:color w:val="000000" w:themeColor="text1"/>
          <w:sz w:val="24"/>
          <w:szCs w:val="24"/>
        </w:rPr>
        <w:t xml:space="preserve"> national investments in joint</w:t>
      </w:r>
      <w:r w:rsidR="00730D17" w:rsidRPr="006340BE">
        <w:rPr>
          <w:rFonts w:ascii="Times New Roman" w:hAnsi="Times New Roman" w:cs="Times New Roman"/>
          <w:color w:val="000000" w:themeColor="text1"/>
          <w:sz w:val="24"/>
          <w:szCs w:val="24"/>
        </w:rPr>
        <w:t xml:space="preserve"> research</w:t>
      </w:r>
      <w:r w:rsidRPr="006340BE">
        <w:rPr>
          <w:rFonts w:ascii="Times New Roman" w:hAnsi="Times New Roman" w:cs="Times New Roman"/>
          <w:color w:val="000000" w:themeColor="text1"/>
          <w:sz w:val="24"/>
          <w:szCs w:val="24"/>
        </w:rPr>
        <w:t xml:space="preserve"> programmes since 2004, </w:t>
      </w:r>
      <w:r w:rsidR="00730D17" w:rsidRPr="006340BE">
        <w:rPr>
          <w:rFonts w:ascii="Times New Roman" w:hAnsi="Times New Roman" w:cs="Times New Roman"/>
          <w:color w:val="000000" w:themeColor="text1"/>
          <w:sz w:val="24"/>
          <w:szCs w:val="24"/>
        </w:rPr>
        <w:t>with</w:t>
      </w:r>
      <w:r w:rsidRPr="006340BE">
        <w:rPr>
          <w:rFonts w:ascii="Times New Roman" w:hAnsi="Times New Roman" w:cs="Times New Roman"/>
          <w:color w:val="000000" w:themeColor="text1"/>
          <w:sz w:val="24"/>
          <w:szCs w:val="24"/>
        </w:rPr>
        <w:t xml:space="preserve"> current annual </w:t>
      </w:r>
      <w:r w:rsidR="00730D17" w:rsidRPr="006340BE">
        <w:rPr>
          <w:rFonts w:ascii="Times New Roman" w:hAnsi="Times New Roman" w:cs="Times New Roman"/>
          <w:color w:val="000000" w:themeColor="text1"/>
          <w:sz w:val="24"/>
          <w:szCs w:val="24"/>
        </w:rPr>
        <w:t xml:space="preserve">joint </w:t>
      </w:r>
      <w:r w:rsidRPr="006340BE">
        <w:rPr>
          <w:rFonts w:ascii="Times New Roman" w:hAnsi="Times New Roman" w:cs="Times New Roman"/>
          <w:color w:val="000000" w:themeColor="text1"/>
          <w:sz w:val="24"/>
          <w:szCs w:val="24"/>
        </w:rPr>
        <w:t xml:space="preserve">spending of EUR </w:t>
      </w:r>
      <w:r w:rsidR="00722C2C" w:rsidRPr="006340BE">
        <w:rPr>
          <w:rFonts w:ascii="Times New Roman" w:hAnsi="Times New Roman" w:cs="Times New Roman"/>
          <w:color w:val="000000" w:themeColor="text1"/>
          <w:sz w:val="24"/>
          <w:szCs w:val="24"/>
        </w:rPr>
        <w:t>800 million.</w:t>
      </w:r>
    </w:p>
    <w:p w14:paraId="4AC6CD3C" w14:textId="067E8912" w:rsidR="00240674" w:rsidRPr="006340BE" w:rsidRDefault="00EC62CD" w:rsidP="00240674">
      <w:pPr>
        <w:pStyle w:val="CommentText"/>
        <w:spacing w:before="120" w:after="0"/>
        <w:jc w:val="both"/>
        <w:rPr>
          <w:rFonts w:ascii="Times New Roman" w:hAnsi="Times New Roman" w:cs="Times New Roman"/>
          <w:color w:val="000000" w:themeColor="text1"/>
          <w:sz w:val="24"/>
          <w:szCs w:val="24"/>
          <w:lang w:val="en-US"/>
        </w:rPr>
      </w:pPr>
      <w:r w:rsidRPr="006340BE">
        <w:rPr>
          <w:rFonts w:ascii="Times New Roman" w:hAnsi="Times New Roman" w:cs="Times New Roman"/>
          <w:color w:val="000000" w:themeColor="text1"/>
          <w:sz w:val="24"/>
          <w:szCs w:val="24"/>
          <w:lang w:val="en-US"/>
        </w:rPr>
        <w:t>Significant progress has been made in removing the geographical barriers to researchers’ mobility</w:t>
      </w:r>
      <w:r w:rsidR="00240674" w:rsidRPr="006340BE">
        <w:rPr>
          <w:rFonts w:ascii="Times New Roman" w:hAnsi="Times New Roman" w:cs="Times New Roman"/>
          <w:color w:val="000000" w:themeColor="text1"/>
          <w:sz w:val="24"/>
          <w:szCs w:val="24"/>
          <w:lang w:val="en-US"/>
        </w:rPr>
        <w:t xml:space="preserve"> and the fragmentation of research careers in Europe</w:t>
      </w:r>
      <w:r w:rsidR="00035D98" w:rsidRPr="006340BE">
        <w:rPr>
          <w:rFonts w:ascii="Times New Roman" w:hAnsi="Times New Roman" w:cs="Times New Roman"/>
          <w:color w:val="000000" w:themeColor="text1"/>
          <w:sz w:val="24"/>
          <w:szCs w:val="24"/>
          <w:lang w:val="en-US"/>
        </w:rPr>
        <w:t xml:space="preserve">, driven by </w:t>
      </w:r>
      <w:r w:rsidR="00BF5F5F" w:rsidRPr="006340BE">
        <w:rPr>
          <w:rFonts w:ascii="Times New Roman" w:hAnsi="Times New Roman" w:cs="Times New Roman"/>
          <w:color w:val="000000" w:themeColor="text1"/>
          <w:sz w:val="24"/>
          <w:szCs w:val="24"/>
          <w:lang w:val="en-US"/>
        </w:rPr>
        <w:t>the</w:t>
      </w:r>
      <w:r w:rsidR="00240674" w:rsidRPr="006340BE">
        <w:rPr>
          <w:rFonts w:ascii="Times New Roman" w:hAnsi="Times New Roman" w:cs="Times New Roman"/>
          <w:color w:val="000000" w:themeColor="text1"/>
          <w:sz w:val="24"/>
          <w:szCs w:val="24"/>
          <w:lang w:val="en-US"/>
        </w:rPr>
        <w:t xml:space="preserve"> European Charter for Researchers and a Code of Conduct for the Recruitment of Researchers</w:t>
      </w:r>
      <w:r w:rsidR="00035D98" w:rsidRPr="006340BE">
        <w:rPr>
          <w:rFonts w:ascii="Times New Roman" w:hAnsi="Times New Roman" w:cs="Times New Roman"/>
          <w:color w:val="000000" w:themeColor="text1"/>
          <w:sz w:val="24"/>
          <w:szCs w:val="24"/>
          <w:lang w:val="en-US"/>
        </w:rPr>
        <w:t xml:space="preserve"> already adopted by 1242 </w:t>
      </w:r>
      <w:r w:rsidR="00035D98" w:rsidRPr="008F1A23">
        <w:rPr>
          <w:rFonts w:ascii="Times New Roman" w:hAnsi="Times New Roman" w:cs="Times New Roman"/>
          <w:color w:val="000000" w:themeColor="text1"/>
          <w:sz w:val="24"/>
          <w:szCs w:val="24"/>
        </w:rPr>
        <w:t>organisations</w:t>
      </w:r>
      <w:r w:rsidR="00240674" w:rsidRPr="006340BE">
        <w:rPr>
          <w:rFonts w:ascii="Times New Roman" w:hAnsi="Times New Roman" w:cs="Times New Roman"/>
          <w:color w:val="000000" w:themeColor="text1"/>
          <w:sz w:val="24"/>
          <w:szCs w:val="24"/>
          <w:lang w:val="en-US"/>
        </w:rPr>
        <w:t>.</w:t>
      </w:r>
      <w:r w:rsidR="00240674" w:rsidRPr="006340BE">
        <w:rPr>
          <w:rFonts w:ascii="Times New Roman" w:hAnsi="Times New Roman" w:cs="Times New Roman"/>
          <w:color w:val="000000" w:themeColor="text1"/>
          <w:sz w:val="24"/>
          <w:vertAlign w:val="superscript"/>
          <w:lang w:val="en-US"/>
        </w:rPr>
        <w:footnoteReference w:id="3"/>
      </w:r>
      <w:r w:rsidR="00240674" w:rsidRPr="006340BE">
        <w:rPr>
          <w:rFonts w:ascii="Times New Roman" w:hAnsi="Times New Roman" w:cs="Times New Roman"/>
          <w:color w:val="000000" w:themeColor="text1"/>
          <w:sz w:val="24"/>
          <w:szCs w:val="24"/>
          <w:lang w:val="en-US"/>
        </w:rPr>
        <w:t xml:space="preserve"> In addition, the EURAXESS</w:t>
      </w:r>
      <w:r w:rsidR="00240674" w:rsidRPr="006340BE">
        <w:rPr>
          <w:rFonts w:ascii="Times New Roman" w:hAnsi="Times New Roman" w:cs="Times New Roman"/>
          <w:color w:val="000000" w:themeColor="text1"/>
          <w:sz w:val="24"/>
          <w:vertAlign w:val="superscript"/>
          <w:lang w:val="en-US"/>
        </w:rPr>
        <w:footnoteReference w:id="4"/>
      </w:r>
      <w:r w:rsidR="00240674" w:rsidRPr="006340BE">
        <w:rPr>
          <w:rFonts w:ascii="Times New Roman" w:hAnsi="Times New Roman" w:cs="Times New Roman"/>
          <w:color w:val="000000" w:themeColor="text1"/>
          <w:sz w:val="24"/>
          <w:szCs w:val="24"/>
          <w:lang w:val="en-US"/>
        </w:rPr>
        <w:t xml:space="preserve"> initiative supports researcher mobility and career development by delivering information and support services to professional researchers.</w:t>
      </w:r>
    </w:p>
    <w:p w14:paraId="782DF723" w14:textId="7FA87403" w:rsidR="00BF5F5F" w:rsidRPr="006340BE" w:rsidRDefault="00BF5F5F">
      <w:pPr>
        <w:pStyle w:val="CommentText"/>
        <w:spacing w:before="120" w:after="0"/>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The ERA has enhanced access to open, free of charge, re-usable scientific information through </w:t>
      </w:r>
      <w:proofErr w:type="gramStart"/>
      <w:r w:rsidRPr="006340BE">
        <w:rPr>
          <w:rFonts w:ascii="Times New Roman" w:hAnsi="Times New Roman" w:cs="Times New Roman"/>
          <w:color w:val="000000" w:themeColor="text1"/>
          <w:sz w:val="24"/>
          <w:szCs w:val="24"/>
        </w:rPr>
        <w:t>the  Open</w:t>
      </w:r>
      <w:proofErr w:type="gramEnd"/>
      <w:r w:rsidRPr="006340BE">
        <w:rPr>
          <w:rFonts w:ascii="Times New Roman" w:hAnsi="Times New Roman" w:cs="Times New Roman"/>
          <w:color w:val="000000" w:themeColor="text1"/>
          <w:sz w:val="24"/>
          <w:szCs w:val="24"/>
        </w:rPr>
        <w:t xml:space="preserve"> Science initiative</w:t>
      </w:r>
      <w:r w:rsidRPr="006340BE">
        <w:rPr>
          <w:rStyle w:val="FootnoteReference"/>
          <w:rFonts w:ascii="Times New Roman" w:hAnsi="Times New Roman" w:cs="Times New Roman"/>
          <w:color w:val="000000" w:themeColor="text1"/>
          <w:sz w:val="24"/>
          <w:szCs w:val="24"/>
        </w:rPr>
        <w:footnoteReference w:id="5"/>
      </w:r>
      <w:r w:rsidRPr="006340BE">
        <w:rPr>
          <w:rFonts w:ascii="Times New Roman" w:hAnsi="Times New Roman" w:cs="Times New Roman"/>
          <w:color w:val="000000" w:themeColor="text1"/>
          <w:sz w:val="24"/>
          <w:szCs w:val="24"/>
        </w:rPr>
        <w:t xml:space="preserve"> and the recently launched   European Open Science Cloud (EOSC)  creating a cloud area for research data in Europe allowing for better science through open and collaborative knowledge sharing.</w:t>
      </w:r>
    </w:p>
    <w:p w14:paraId="0993F1F7" w14:textId="2B915996" w:rsidR="009A3C9C" w:rsidRPr="006340BE" w:rsidRDefault="00330E57">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At the same time, </w:t>
      </w:r>
      <w:r w:rsidR="009A3C9C" w:rsidRPr="006340BE">
        <w:rPr>
          <w:rFonts w:ascii="Times New Roman" w:hAnsi="Times New Roman" w:cs="Times New Roman"/>
          <w:color w:val="000000" w:themeColor="text1"/>
          <w:sz w:val="24"/>
          <w:szCs w:val="24"/>
        </w:rPr>
        <w:t>the progress towards the ERA</w:t>
      </w:r>
      <w:r w:rsidR="00F77208" w:rsidRPr="006340BE">
        <w:rPr>
          <w:rFonts w:ascii="Times New Roman" w:hAnsi="Times New Roman" w:cs="Times New Roman"/>
          <w:color w:val="000000" w:themeColor="text1"/>
          <w:sz w:val="24"/>
          <w:szCs w:val="24"/>
        </w:rPr>
        <w:t xml:space="preserve"> objectives</w:t>
      </w:r>
      <w:r w:rsidR="009A3C9C" w:rsidRPr="006340BE">
        <w:rPr>
          <w:rFonts w:ascii="Times New Roman" w:hAnsi="Times New Roman" w:cs="Times New Roman"/>
          <w:color w:val="000000" w:themeColor="text1"/>
          <w:sz w:val="24"/>
          <w:szCs w:val="24"/>
        </w:rPr>
        <w:t xml:space="preserve"> has been slowing down and </w:t>
      </w:r>
      <w:r w:rsidR="00BF5F5F" w:rsidRPr="006340BE">
        <w:rPr>
          <w:rFonts w:ascii="Times New Roman" w:hAnsi="Times New Roman" w:cs="Times New Roman"/>
          <w:color w:val="000000" w:themeColor="text1"/>
          <w:sz w:val="24"/>
          <w:szCs w:val="24"/>
        </w:rPr>
        <w:t>further improvement could be achieved</w:t>
      </w:r>
      <w:r w:rsidR="009A3C9C" w:rsidRPr="006340BE">
        <w:rPr>
          <w:rStyle w:val="FootnoteReference"/>
          <w:rFonts w:ascii="Times New Roman" w:hAnsi="Times New Roman" w:cs="Times New Roman"/>
          <w:color w:val="000000" w:themeColor="text1"/>
          <w:sz w:val="24"/>
          <w:szCs w:val="24"/>
        </w:rPr>
        <w:footnoteReference w:id="6"/>
      </w:r>
      <w:r w:rsidR="009A3C9C" w:rsidRPr="006340BE">
        <w:rPr>
          <w:rFonts w:ascii="Times New Roman" w:hAnsi="Times New Roman" w:cs="Times New Roman"/>
          <w:color w:val="000000" w:themeColor="text1"/>
          <w:sz w:val="24"/>
          <w:szCs w:val="24"/>
        </w:rPr>
        <w:t xml:space="preserve"> in key areas:</w:t>
      </w:r>
    </w:p>
    <w:p w14:paraId="0BB6476F" w14:textId="49B173D4" w:rsidR="009A3C9C" w:rsidRPr="006340BE" w:rsidRDefault="00F77208">
      <w:pPr>
        <w:pStyle w:val="ListParagraph"/>
        <w:numPr>
          <w:ilvl w:val="0"/>
          <w:numId w:val="2"/>
        </w:numPr>
        <w:spacing w:before="120" w:after="0" w:line="240" w:lineRule="auto"/>
        <w:ind w:left="357" w:hanging="357"/>
        <w:contextualSpacing w:val="0"/>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T</w:t>
      </w:r>
      <w:r w:rsidR="009A3C9C" w:rsidRPr="006340BE">
        <w:rPr>
          <w:rFonts w:ascii="Times New Roman" w:hAnsi="Times New Roman" w:cs="Times New Roman"/>
          <w:color w:val="000000" w:themeColor="text1"/>
          <w:sz w:val="24"/>
          <w:szCs w:val="24"/>
        </w:rPr>
        <w:t xml:space="preserve">he EU </w:t>
      </w:r>
      <w:r w:rsidRPr="006340BE">
        <w:rPr>
          <w:rFonts w:ascii="Times New Roman" w:hAnsi="Times New Roman" w:cs="Times New Roman"/>
          <w:color w:val="000000" w:themeColor="text1"/>
          <w:sz w:val="24"/>
          <w:szCs w:val="24"/>
        </w:rPr>
        <w:t xml:space="preserve">R&amp;D investment </w:t>
      </w:r>
      <w:r w:rsidR="009A3C9C" w:rsidRPr="006340BE">
        <w:rPr>
          <w:rFonts w:ascii="Times New Roman" w:hAnsi="Times New Roman" w:cs="Times New Roman"/>
          <w:color w:val="000000" w:themeColor="text1"/>
          <w:sz w:val="24"/>
          <w:szCs w:val="24"/>
        </w:rPr>
        <w:t xml:space="preserve">is at 2.19% </w:t>
      </w:r>
      <w:r w:rsidRPr="006340BE">
        <w:rPr>
          <w:rFonts w:ascii="Times New Roman" w:hAnsi="Times New Roman" w:cs="Times New Roman"/>
          <w:color w:val="000000" w:themeColor="text1"/>
          <w:sz w:val="24"/>
          <w:szCs w:val="24"/>
        </w:rPr>
        <w:t xml:space="preserve">of </w:t>
      </w:r>
      <w:r w:rsidR="009A3C9C" w:rsidRPr="006340BE">
        <w:rPr>
          <w:rFonts w:ascii="Times New Roman" w:hAnsi="Times New Roman" w:cs="Times New Roman"/>
          <w:color w:val="000000" w:themeColor="text1"/>
          <w:sz w:val="24"/>
          <w:szCs w:val="24"/>
        </w:rPr>
        <w:t>GDP (2018), still far from its 3% target</w:t>
      </w:r>
      <w:r w:rsidR="00330E57" w:rsidRPr="006340BE">
        <w:rPr>
          <w:rFonts w:ascii="Times New Roman" w:hAnsi="Times New Roman" w:cs="Times New Roman"/>
          <w:color w:val="000000" w:themeColor="text1"/>
          <w:sz w:val="24"/>
          <w:szCs w:val="24"/>
        </w:rPr>
        <w:t>.</w:t>
      </w:r>
      <w:r w:rsidR="009A3C9C" w:rsidRPr="006340BE">
        <w:rPr>
          <w:rFonts w:ascii="Times New Roman" w:eastAsia="Times New Roman" w:hAnsi="Times New Roman" w:cs="Times New Roman"/>
          <w:color w:val="000000" w:themeColor="text1"/>
          <w:sz w:val="24"/>
          <w:szCs w:val="24"/>
        </w:rPr>
        <w:t xml:space="preserve"> </w:t>
      </w:r>
      <w:r w:rsidR="009A3C9C" w:rsidRPr="006340BE">
        <w:rPr>
          <w:rFonts w:ascii="Times New Roman" w:hAnsi="Times New Roman" w:cs="Times New Roman"/>
          <w:color w:val="000000" w:themeColor="text1"/>
          <w:sz w:val="24"/>
          <w:szCs w:val="24"/>
        </w:rPr>
        <w:t xml:space="preserve">Public R&amp;D investment </w:t>
      </w:r>
      <w:r w:rsidR="00C05ADE" w:rsidRPr="006340BE">
        <w:rPr>
          <w:rFonts w:ascii="Times New Roman" w:hAnsi="Times New Roman" w:cs="Times New Roman"/>
          <w:color w:val="000000" w:themeColor="text1"/>
          <w:sz w:val="24"/>
          <w:szCs w:val="24"/>
        </w:rPr>
        <w:t xml:space="preserve">has </w:t>
      </w:r>
      <w:r w:rsidR="009A3C9C" w:rsidRPr="006340BE">
        <w:rPr>
          <w:rFonts w:ascii="Times New Roman" w:hAnsi="Times New Roman" w:cs="Times New Roman"/>
          <w:color w:val="000000" w:themeColor="text1"/>
          <w:sz w:val="24"/>
          <w:szCs w:val="24"/>
        </w:rPr>
        <w:t>stagnated since 2010. EU business R&amp;D investment (</w:t>
      </w:r>
      <w:r w:rsidR="009A3C9C" w:rsidRPr="006340BE">
        <w:rPr>
          <w:rFonts w:ascii="Times New Roman" w:eastAsia="Arial" w:hAnsi="Times New Roman" w:cs="Times New Roman"/>
          <w:color w:val="000000" w:themeColor="text1"/>
          <w:sz w:val="24"/>
          <w:szCs w:val="24"/>
        </w:rPr>
        <w:t>1.45% of GDP)</w:t>
      </w:r>
      <w:r w:rsidR="009A3C9C" w:rsidRPr="006340BE">
        <w:rPr>
          <w:rFonts w:ascii="Times New Roman" w:hAnsi="Times New Roman" w:cs="Times New Roman"/>
          <w:color w:val="000000" w:themeColor="text1"/>
          <w:sz w:val="24"/>
          <w:szCs w:val="24"/>
        </w:rPr>
        <w:t xml:space="preserve"> remains significantly lower than that of our main competitors</w:t>
      </w:r>
      <w:r w:rsidR="009A3C9C" w:rsidRPr="006340BE">
        <w:rPr>
          <w:rStyle w:val="FootnoteReference"/>
          <w:rFonts w:ascii="Times New Roman" w:hAnsi="Times New Roman" w:cs="Times New Roman"/>
          <w:color w:val="000000" w:themeColor="text1"/>
          <w:sz w:val="24"/>
          <w:szCs w:val="24"/>
        </w:rPr>
        <w:footnoteReference w:id="7"/>
      </w:r>
      <w:r w:rsidR="009A3C9C" w:rsidRPr="006340BE">
        <w:rPr>
          <w:rFonts w:ascii="Times New Roman" w:hAnsi="Times New Roman" w:cs="Times New Roman"/>
          <w:color w:val="000000" w:themeColor="text1"/>
          <w:sz w:val="24"/>
          <w:szCs w:val="24"/>
        </w:rPr>
        <w:t xml:space="preserve">. In South Korea it stands at 3.64 %, in Japan </w:t>
      </w:r>
      <w:r w:rsidR="00330E57" w:rsidRPr="006340BE">
        <w:rPr>
          <w:rFonts w:ascii="Times New Roman" w:hAnsi="Times New Roman" w:cs="Times New Roman"/>
          <w:color w:val="000000" w:themeColor="text1"/>
          <w:sz w:val="24"/>
          <w:szCs w:val="24"/>
        </w:rPr>
        <w:t xml:space="preserve">at </w:t>
      </w:r>
      <w:r w:rsidR="009A3C9C" w:rsidRPr="006340BE">
        <w:rPr>
          <w:rFonts w:ascii="Times New Roman" w:hAnsi="Times New Roman" w:cs="Times New Roman"/>
          <w:color w:val="000000" w:themeColor="text1"/>
          <w:sz w:val="24"/>
          <w:szCs w:val="24"/>
        </w:rPr>
        <w:t xml:space="preserve">2.59 %, in the United States </w:t>
      </w:r>
      <w:r w:rsidR="00330E57" w:rsidRPr="006340BE">
        <w:rPr>
          <w:rFonts w:ascii="Times New Roman" w:hAnsi="Times New Roman" w:cs="Times New Roman"/>
          <w:color w:val="000000" w:themeColor="text1"/>
          <w:sz w:val="24"/>
          <w:szCs w:val="24"/>
        </w:rPr>
        <w:t xml:space="preserve">at </w:t>
      </w:r>
      <w:r w:rsidR="009A3C9C" w:rsidRPr="006340BE">
        <w:rPr>
          <w:rFonts w:ascii="Times New Roman" w:hAnsi="Times New Roman" w:cs="Times New Roman"/>
          <w:color w:val="000000" w:themeColor="text1"/>
          <w:sz w:val="24"/>
          <w:szCs w:val="24"/>
        </w:rPr>
        <w:t xml:space="preserve">2.05 % and in China </w:t>
      </w:r>
      <w:r w:rsidR="00330E57" w:rsidRPr="006340BE">
        <w:rPr>
          <w:rFonts w:ascii="Times New Roman" w:hAnsi="Times New Roman" w:cs="Times New Roman"/>
          <w:color w:val="000000" w:themeColor="text1"/>
          <w:sz w:val="24"/>
          <w:szCs w:val="24"/>
        </w:rPr>
        <w:t xml:space="preserve">at </w:t>
      </w:r>
      <w:r w:rsidR="009A3C9C" w:rsidRPr="006340BE">
        <w:rPr>
          <w:rFonts w:ascii="Times New Roman" w:hAnsi="Times New Roman" w:cs="Times New Roman"/>
          <w:color w:val="000000" w:themeColor="text1"/>
          <w:sz w:val="24"/>
          <w:szCs w:val="24"/>
        </w:rPr>
        <w:t xml:space="preserve">1.69 %. </w:t>
      </w:r>
    </w:p>
    <w:p w14:paraId="6ADF115D" w14:textId="5C2B170F" w:rsidR="009A3C9C" w:rsidRPr="006340BE" w:rsidRDefault="009A3C9C">
      <w:pPr>
        <w:pStyle w:val="ListParagraph"/>
        <w:numPr>
          <w:ilvl w:val="0"/>
          <w:numId w:val="2"/>
        </w:numPr>
        <w:spacing w:before="120" w:after="0" w:line="240" w:lineRule="auto"/>
        <w:ind w:left="357" w:hanging="357"/>
        <w:contextualSpacing w:val="0"/>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lastRenderedPageBreak/>
        <w:t>While participation of the less performing Member States in the Framework Programme is now on the rise</w:t>
      </w:r>
      <w:r w:rsidRPr="006340BE">
        <w:rPr>
          <w:rStyle w:val="FootnoteReference"/>
          <w:rFonts w:ascii="Times New Roman" w:hAnsi="Times New Roman" w:cs="Times New Roman"/>
          <w:color w:val="000000" w:themeColor="text1"/>
          <w:sz w:val="24"/>
          <w:szCs w:val="24"/>
        </w:rPr>
        <w:footnoteReference w:id="8"/>
      </w:r>
      <w:r w:rsidRPr="006340BE">
        <w:rPr>
          <w:rFonts w:ascii="Times New Roman" w:hAnsi="Times New Roman" w:cs="Times New Roman"/>
          <w:color w:val="000000" w:themeColor="text1"/>
          <w:sz w:val="24"/>
          <w:szCs w:val="24"/>
        </w:rPr>
        <w:t>, indicators regarding science quality or innovation activity show significant discrepancies within the Union.</w:t>
      </w:r>
    </w:p>
    <w:p w14:paraId="0AAA04CA" w14:textId="4DFE7B51" w:rsidR="009A3C9C" w:rsidRPr="006340BE" w:rsidRDefault="009A3C9C">
      <w:pPr>
        <w:pStyle w:val="ListParagraph"/>
        <w:numPr>
          <w:ilvl w:val="0"/>
          <w:numId w:val="2"/>
        </w:numPr>
        <w:autoSpaceDE w:val="0"/>
        <w:autoSpaceDN w:val="0"/>
        <w:spacing w:before="120" w:after="0" w:line="240" w:lineRule="auto"/>
        <w:ind w:left="357" w:hanging="357"/>
        <w:contextualSpacing w:val="0"/>
        <w:jc w:val="both"/>
        <w:rPr>
          <w:rFonts w:ascii="Times New Roman" w:hAnsi="Times New Roman"/>
          <w:color w:val="000000" w:themeColor="text1"/>
          <w:sz w:val="24"/>
        </w:rPr>
      </w:pPr>
      <w:r w:rsidRPr="006340BE">
        <w:rPr>
          <w:rFonts w:ascii="Times New Roman" w:hAnsi="Times New Roman"/>
          <w:color w:val="000000" w:themeColor="text1"/>
          <w:sz w:val="24"/>
          <w:szCs w:val="24"/>
        </w:rPr>
        <w:t xml:space="preserve">Europe is also lagging behind in translating R&amp;I results into the economy. </w:t>
      </w:r>
      <w:r w:rsidRPr="006340BE">
        <w:rPr>
          <w:rFonts w:ascii="Times New Roman" w:hAnsi="Times New Roman" w:cs="Times New Roman"/>
          <w:color w:val="000000" w:themeColor="text1"/>
          <w:sz w:val="24"/>
          <w:szCs w:val="24"/>
        </w:rPr>
        <w:t>Although Europe is a world leader in some high tech sectors such as green technology, with the growing importance and diffusion of ICT</w:t>
      </w:r>
      <w:r w:rsidRPr="006340BE">
        <w:rPr>
          <w:color w:val="000000" w:themeColor="text1"/>
          <w:vertAlign w:val="superscript"/>
        </w:rPr>
        <w:footnoteReference w:id="9"/>
      </w:r>
      <w:r w:rsidRPr="006340BE">
        <w:rPr>
          <w:rFonts w:ascii="Times New Roman" w:hAnsi="Times New Roman" w:cs="Times New Roman"/>
          <w:color w:val="000000" w:themeColor="text1"/>
          <w:sz w:val="24"/>
          <w:szCs w:val="24"/>
        </w:rPr>
        <w:t>, efforts need to be channelled towards strengthening industrial innovation</w:t>
      </w:r>
      <w:r w:rsidRPr="006340BE">
        <w:rPr>
          <w:color w:val="000000" w:themeColor="text1"/>
          <w:vertAlign w:val="superscript"/>
        </w:rPr>
        <w:footnoteReference w:id="10"/>
      </w:r>
      <w:r w:rsidR="00FC4CB3">
        <w:rPr>
          <w:rFonts w:ascii="Times New Roman" w:hAnsi="Times New Roman" w:cs="Times New Roman"/>
          <w:color w:val="000000" w:themeColor="text1"/>
          <w:sz w:val="24"/>
          <w:szCs w:val="24"/>
        </w:rPr>
        <w:t>, technology transfer and</w:t>
      </w:r>
      <w:r w:rsidRPr="006340BE">
        <w:rPr>
          <w:rFonts w:ascii="Times New Roman" w:hAnsi="Times New Roman"/>
          <w:color w:val="000000" w:themeColor="text1"/>
          <w:sz w:val="24"/>
        </w:rPr>
        <w:t xml:space="preserve"> fostering</w:t>
      </w:r>
      <w:r w:rsidRPr="006340BE">
        <w:rPr>
          <w:rFonts w:ascii="Times New Roman" w:hAnsi="Times New Roman"/>
          <w:color w:val="000000" w:themeColor="text1"/>
          <w:sz w:val="24"/>
          <w:szCs w:val="24"/>
        </w:rPr>
        <w:t xml:space="preserve"> the uptake of R&amp;I solutions and the diffusion of innovation through knowledge transfer and public-private cooperation</w:t>
      </w:r>
      <w:r w:rsidRPr="006340BE">
        <w:rPr>
          <w:rStyle w:val="FootnoteReference"/>
          <w:rFonts w:ascii="Times New Roman" w:hAnsi="Times New Roman"/>
          <w:color w:val="000000" w:themeColor="text1"/>
          <w:sz w:val="24"/>
          <w:szCs w:val="24"/>
        </w:rPr>
        <w:footnoteReference w:id="11"/>
      </w:r>
      <w:r w:rsidRPr="006340BE">
        <w:rPr>
          <w:rFonts w:ascii="Times New Roman" w:hAnsi="Times New Roman" w:cs="Times New Roman"/>
          <w:color w:val="000000" w:themeColor="text1"/>
          <w:sz w:val="24"/>
          <w:szCs w:val="24"/>
        </w:rPr>
        <w:t xml:space="preserve">. </w:t>
      </w:r>
    </w:p>
    <w:p w14:paraId="0FC29D9A" w14:textId="318B0B94" w:rsidR="001E14F5" w:rsidRPr="004E416A" w:rsidRDefault="009A3C9C" w:rsidP="00E87ECB">
      <w:pPr>
        <w:pStyle w:val="ListParagraph"/>
        <w:numPr>
          <w:ilvl w:val="0"/>
          <w:numId w:val="2"/>
        </w:numPr>
        <w:spacing w:before="120" w:after="0" w:line="240" w:lineRule="auto"/>
        <w:contextualSpacing w:val="0"/>
        <w:jc w:val="both"/>
        <w:rPr>
          <w:color w:val="000000" w:themeColor="text1"/>
        </w:rPr>
      </w:pPr>
      <w:r w:rsidRPr="00C870D3">
        <w:rPr>
          <w:rFonts w:ascii="Times New Roman" w:hAnsi="Times New Roman" w:cs="Times New Roman"/>
          <w:color w:val="000000" w:themeColor="text1"/>
          <w:sz w:val="24"/>
          <w:szCs w:val="24"/>
        </w:rPr>
        <w:t xml:space="preserve">The EU is a leader in science quality, including in international scientific collaboration. However, in relative terms the EU scores below the US on number of high impact publications and has not seen progress since 2012, while China is rising. </w:t>
      </w:r>
    </w:p>
    <w:p w14:paraId="5945B580" w14:textId="7C2071AA" w:rsidR="007E4D13" w:rsidRPr="006340BE" w:rsidRDefault="009A3C9C" w:rsidP="00F74968">
      <w:pPr>
        <w:pStyle w:val="ListParagraph"/>
        <w:numPr>
          <w:ilvl w:val="0"/>
          <w:numId w:val="2"/>
        </w:numPr>
        <w:spacing w:before="120" w:after="0" w:line="240" w:lineRule="auto"/>
        <w:ind w:left="357" w:hanging="357"/>
        <w:contextualSpacing w:val="0"/>
        <w:jc w:val="both"/>
        <w:rPr>
          <w:iCs/>
          <w:color w:val="000000" w:themeColor="text1"/>
        </w:rPr>
      </w:pPr>
      <w:r w:rsidRPr="006340BE">
        <w:rPr>
          <w:rFonts w:ascii="Times New Roman" w:hAnsi="Times New Roman" w:cs="Times New Roman"/>
          <w:color w:val="000000" w:themeColor="text1"/>
          <w:sz w:val="24"/>
          <w:szCs w:val="24"/>
        </w:rPr>
        <w:t>Despite the continuous policy attention to gender equality in R&amp;I, progress has been slow and remains insufficient. While equality has nearly been reached in PhD graduates, only 24% of top positions in the higher education sector are occupied by women.</w:t>
      </w:r>
    </w:p>
    <w:p w14:paraId="41452083" w14:textId="6DF9FC65" w:rsidR="00F40A89" w:rsidRPr="006340BE" w:rsidRDefault="00230E81"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Th</w:t>
      </w:r>
      <w:r w:rsidR="006D4EA2" w:rsidRPr="006340BE">
        <w:rPr>
          <w:rFonts w:ascii="Times New Roman" w:hAnsi="Times New Roman" w:cs="Times New Roman"/>
          <w:color w:val="000000" w:themeColor="text1"/>
          <w:sz w:val="24"/>
          <w:szCs w:val="24"/>
        </w:rPr>
        <w:t>e</w:t>
      </w:r>
      <w:r w:rsidRPr="006340BE">
        <w:rPr>
          <w:rFonts w:ascii="Times New Roman" w:hAnsi="Times New Roman" w:cs="Times New Roman"/>
          <w:color w:val="000000" w:themeColor="text1"/>
          <w:sz w:val="24"/>
          <w:szCs w:val="24"/>
        </w:rPr>
        <w:t xml:space="preserve"> </w:t>
      </w:r>
      <w:r w:rsidR="00C72553" w:rsidRPr="006340BE">
        <w:rPr>
          <w:rFonts w:ascii="Times New Roman" w:hAnsi="Times New Roman" w:cs="Times New Roman"/>
          <w:color w:val="000000" w:themeColor="text1"/>
          <w:sz w:val="24"/>
          <w:szCs w:val="24"/>
        </w:rPr>
        <w:t xml:space="preserve">slowing </w:t>
      </w:r>
      <w:r w:rsidRPr="006340BE">
        <w:rPr>
          <w:rFonts w:ascii="Times New Roman" w:hAnsi="Times New Roman" w:cs="Times New Roman"/>
          <w:color w:val="000000" w:themeColor="text1"/>
          <w:sz w:val="24"/>
          <w:szCs w:val="24"/>
        </w:rPr>
        <w:t xml:space="preserve">of progress </w:t>
      </w:r>
      <w:r w:rsidR="00C72553" w:rsidRPr="006340BE">
        <w:rPr>
          <w:rFonts w:ascii="Times New Roman" w:hAnsi="Times New Roman" w:cs="Times New Roman"/>
          <w:color w:val="000000" w:themeColor="text1"/>
          <w:sz w:val="24"/>
          <w:szCs w:val="24"/>
        </w:rPr>
        <w:t xml:space="preserve">raises concerns when </w:t>
      </w:r>
      <w:r w:rsidRPr="006340BE">
        <w:rPr>
          <w:rFonts w:ascii="Times New Roman" w:hAnsi="Times New Roman" w:cs="Times New Roman"/>
          <w:color w:val="000000" w:themeColor="text1"/>
          <w:sz w:val="24"/>
          <w:szCs w:val="24"/>
        </w:rPr>
        <w:t xml:space="preserve">ambitious national funding </w:t>
      </w:r>
      <w:r w:rsidR="00C72553" w:rsidRPr="006340BE">
        <w:rPr>
          <w:rFonts w:ascii="Times New Roman" w:hAnsi="Times New Roman" w:cs="Times New Roman"/>
          <w:color w:val="000000" w:themeColor="text1"/>
          <w:sz w:val="24"/>
          <w:szCs w:val="24"/>
        </w:rPr>
        <w:t xml:space="preserve">and </w:t>
      </w:r>
      <w:r w:rsidRPr="006340BE">
        <w:rPr>
          <w:rFonts w:ascii="Times New Roman" w:hAnsi="Times New Roman" w:cs="Times New Roman"/>
          <w:color w:val="000000" w:themeColor="text1"/>
          <w:sz w:val="24"/>
          <w:szCs w:val="24"/>
        </w:rPr>
        <w:t>reforms</w:t>
      </w:r>
      <w:r w:rsidR="00C72553" w:rsidRPr="006340BE">
        <w:rPr>
          <w:rFonts w:ascii="Times New Roman" w:hAnsi="Times New Roman" w:cs="Times New Roman"/>
          <w:color w:val="000000" w:themeColor="text1"/>
          <w:sz w:val="24"/>
          <w:szCs w:val="24"/>
        </w:rPr>
        <w:t>, supporting a</w:t>
      </w:r>
      <w:r w:rsidRPr="006340BE">
        <w:rPr>
          <w:rFonts w:ascii="Times New Roman" w:hAnsi="Times New Roman" w:cs="Times New Roman"/>
          <w:color w:val="000000" w:themeColor="text1"/>
          <w:sz w:val="24"/>
          <w:szCs w:val="24"/>
        </w:rPr>
        <w:t xml:space="preserve"> strong </w:t>
      </w:r>
      <w:r w:rsidR="00730D17" w:rsidRPr="006340BE">
        <w:rPr>
          <w:rFonts w:ascii="Times New Roman" w:hAnsi="Times New Roman" w:cs="Times New Roman"/>
          <w:color w:val="000000" w:themeColor="text1"/>
          <w:sz w:val="24"/>
          <w:szCs w:val="24"/>
        </w:rPr>
        <w:t xml:space="preserve">collective </w:t>
      </w:r>
      <w:r w:rsidRPr="006340BE">
        <w:rPr>
          <w:rFonts w:ascii="Times New Roman" w:hAnsi="Times New Roman" w:cs="Times New Roman"/>
          <w:color w:val="000000" w:themeColor="text1"/>
          <w:sz w:val="24"/>
          <w:szCs w:val="24"/>
        </w:rPr>
        <w:t>governance structure</w:t>
      </w:r>
      <w:r w:rsidR="00C72553" w:rsidRPr="006340BE">
        <w:rPr>
          <w:rFonts w:ascii="Times New Roman" w:hAnsi="Times New Roman" w:cs="Times New Roman"/>
          <w:color w:val="000000" w:themeColor="text1"/>
          <w:sz w:val="24"/>
          <w:szCs w:val="24"/>
        </w:rPr>
        <w:t>,</w:t>
      </w:r>
      <w:r w:rsidRPr="006340BE">
        <w:rPr>
          <w:rFonts w:ascii="Times New Roman" w:hAnsi="Times New Roman" w:cs="Times New Roman"/>
          <w:color w:val="000000" w:themeColor="text1"/>
          <w:sz w:val="24"/>
          <w:szCs w:val="24"/>
        </w:rPr>
        <w:t xml:space="preserve"> </w:t>
      </w:r>
      <w:r w:rsidR="00C72553" w:rsidRPr="006340BE">
        <w:rPr>
          <w:rFonts w:ascii="Times New Roman" w:hAnsi="Times New Roman" w:cs="Times New Roman"/>
          <w:color w:val="000000" w:themeColor="text1"/>
          <w:sz w:val="24"/>
          <w:szCs w:val="24"/>
        </w:rPr>
        <w:t xml:space="preserve">are needed for Europe to engage in </w:t>
      </w:r>
      <w:r w:rsidRPr="006340BE">
        <w:rPr>
          <w:rFonts w:ascii="Times New Roman" w:hAnsi="Times New Roman" w:cs="Times New Roman"/>
          <w:color w:val="000000" w:themeColor="text1"/>
          <w:sz w:val="24"/>
          <w:szCs w:val="24"/>
        </w:rPr>
        <w:t>stronger action</w:t>
      </w:r>
      <w:r w:rsidR="00C72553" w:rsidRPr="006340BE">
        <w:rPr>
          <w:rFonts w:ascii="Times New Roman" w:hAnsi="Times New Roman" w:cs="Times New Roman"/>
          <w:color w:val="000000" w:themeColor="text1"/>
          <w:sz w:val="24"/>
          <w:szCs w:val="24"/>
        </w:rPr>
        <w:t xml:space="preserve"> in the economic recovery</w:t>
      </w:r>
      <w:r w:rsidRPr="006340BE">
        <w:rPr>
          <w:rFonts w:ascii="Times New Roman" w:hAnsi="Times New Roman" w:cs="Times New Roman"/>
          <w:color w:val="000000" w:themeColor="text1"/>
          <w:sz w:val="24"/>
          <w:szCs w:val="24"/>
        </w:rPr>
        <w:t xml:space="preserve">. </w:t>
      </w:r>
    </w:p>
    <w:p w14:paraId="729929F1" w14:textId="6DAAA564" w:rsidR="006A7BE1" w:rsidRPr="006340BE" w:rsidRDefault="009A3C9C"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i/>
          <w:color w:val="000000" w:themeColor="text1"/>
          <w:sz w:val="24"/>
          <w:szCs w:val="24"/>
        </w:rPr>
        <w:t>New challenges for R&amp;I policy</w:t>
      </w:r>
    </w:p>
    <w:p w14:paraId="0E9E166D" w14:textId="3AF444E6" w:rsidR="006A7BE1" w:rsidRPr="006340BE" w:rsidRDefault="006A7BE1" w:rsidP="00F74968">
      <w:pPr>
        <w:spacing w:before="120" w:after="0" w:line="240" w:lineRule="auto"/>
        <w:jc w:val="both"/>
        <w:rPr>
          <w:rFonts w:ascii="Times New Roman" w:hAnsi="Times New Roman"/>
          <w:color w:val="000000" w:themeColor="text1"/>
          <w:sz w:val="24"/>
        </w:rPr>
      </w:pPr>
      <w:r w:rsidRPr="006340BE">
        <w:rPr>
          <w:rFonts w:ascii="Times New Roman" w:hAnsi="Times New Roman" w:cs="Times New Roman"/>
          <w:color w:val="000000" w:themeColor="text1"/>
          <w:sz w:val="24"/>
          <w:szCs w:val="24"/>
        </w:rPr>
        <w:t>Europe is currently facing deep societal, ecological and economic challenges, aggravated by the coronavirus crisis.</w:t>
      </w:r>
      <w:r w:rsidR="002E37D8" w:rsidRPr="006340BE">
        <w:rPr>
          <w:rFonts w:ascii="Times New Roman" w:hAnsi="Times New Roman" w:cs="Times New Roman"/>
          <w:color w:val="000000" w:themeColor="text1"/>
          <w:sz w:val="24"/>
          <w:szCs w:val="24"/>
        </w:rPr>
        <w:t xml:space="preserve"> </w:t>
      </w:r>
      <w:r w:rsidRPr="006340BE">
        <w:rPr>
          <w:rFonts w:ascii="Times New Roman" w:hAnsi="Times New Roman"/>
          <w:color w:val="000000" w:themeColor="text1"/>
          <w:sz w:val="24"/>
        </w:rPr>
        <w:t xml:space="preserve">Delivering on Europe’s recovery is </w:t>
      </w:r>
      <w:r w:rsidR="00E94EAB" w:rsidRPr="006340BE">
        <w:rPr>
          <w:rFonts w:ascii="Times New Roman" w:hAnsi="Times New Roman"/>
          <w:color w:val="000000" w:themeColor="text1"/>
          <w:sz w:val="24"/>
        </w:rPr>
        <w:t>a</w:t>
      </w:r>
      <w:r w:rsidRPr="006340BE">
        <w:rPr>
          <w:rFonts w:ascii="Times New Roman" w:hAnsi="Times New Roman"/>
          <w:color w:val="000000" w:themeColor="text1"/>
          <w:sz w:val="24"/>
        </w:rPr>
        <w:t xml:space="preserve"> pressing priority</w:t>
      </w:r>
      <w:r w:rsidR="00440976" w:rsidRPr="006340BE">
        <w:rPr>
          <w:rFonts w:ascii="Times New Roman" w:hAnsi="Times New Roman"/>
          <w:color w:val="000000" w:themeColor="text1"/>
          <w:sz w:val="24"/>
        </w:rPr>
        <w:t>,</w:t>
      </w:r>
      <w:r w:rsidRPr="006340BE">
        <w:rPr>
          <w:rFonts w:ascii="Times New Roman" w:hAnsi="Times New Roman"/>
          <w:color w:val="000000" w:themeColor="text1"/>
          <w:sz w:val="24"/>
        </w:rPr>
        <w:t xml:space="preserve"> while the green and digital transitions (</w:t>
      </w:r>
      <w:r w:rsidRPr="006340BE">
        <w:rPr>
          <w:rFonts w:ascii="Times New Roman" w:hAnsi="Times New Roman"/>
          <w:i/>
          <w:iCs/>
          <w:color w:val="000000" w:themeColor="text1"/>
          <w:sz w:val="24"/>
        </w:rPr>
        <w:t>twin transition</w:t>
      </w:r>
      <w:r w:rsidRPr="006340BE">
        <w:rPr>
          <w:rFonts w:ascii="Times New Roman" w:hAnsi="Times New Roman"/>
          <w:color w:val="000000" w:themeColor="text1"/>
          <w:sz w:val="24"/>
        </w:rPr>
        <w:t>) are more important than ever</w:t>
      </w:r>
      <w:r w:rsidRPr="006340BE">
        <w:rPr>
          <w:rStyle w:val="FootnoteReference"/>
          <w:rFonts w:ascii="Times New Roman" w:hAnsi="Times New Roman"/>
          <w:color w:val="000000" w:themeColor="text1"/>
          <w:sz w:val="24"/>
        </w:rPr>
        <w:footnoteReference w:id="12"/>
      </w:r>
      <w:r w:rsidRPr="006340BE">
        <w:rPr>
          <w:rFonts w:ascii="Times New Roman" w:hAnsi="Times New Roman"/>
          <w:color w:val="000000" w:themeColor="text1"/>
          <w:sz w:val="24"/>
        </w:rPr>
        <w:t>.</w:t>
      </w:r>
      <w:r w:rsidR="000F7050" w:rsidRPr="006340BE">
        <w:rPr>
          <w:rFonts w:ascii="Times New Roman" w:hAnsi="Times New Roman"/>
          <w:color w:val="000000" w:themeColor="text1"/>
          <w:sz w:val="24"/>
        </w:rPr>
        <w:t xml:space="preserve"> </w:t>
      </w:r>
    </w:p>
    <w:p w14:paraId="5846DC04" w14:textId="5D3E931A" w:rsidR="00092A79" w:rsidRPr="006340BE" w:rsidRDefault="006A7BE1">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The EU has set itself ambitious goals and put in place instruments to achieve competitive sustainability. It committed to climate neutrality</w:t>
      </w:r>
      <w:r w:rsidR="004E368A" w:rsidRPr="006340BE">
        <w:rPr>
          <w:rStyle w:val="FootnoteReference"/>
          <w:rFonts w:ascii="Times New Roman" w:hAnsi="Times New Roman" w:cs="Times New Roman"/>
          <w:color w:val="000000" w:themeColor="text1"/>
          <w:sz w:val="24"/>
          <w:szCs w:val="24"/>
        </w:rPr>
        <w:footnoteReference w:id="13"/>
      </w:r>
      <w:r w:rsidRPr="006340BE">
        <w:rPr>
          <w:rFonts w:ascii="Times New Roman" w:hAnsi="Times New Roman" w:cs="Times New Roman"/>
          <w:color w:val="000000" w:themeColor="text1"/>
          <w:sz w:val="24"/>
          <w:szCs w:val="24"/>
        </w:rPr>
        <w:t xml:space="preserve"> </w:t>
      </w:r>
      <w:r w:rsidR="00115688">
        <w:rPr>
          <w:rFonts w:ascii="Times New Roman" w:hAnsi="Times New Roman" w:cs="Times New Roman"/>
          <w:color w:val="000000" w:themeColor="text1"/>
          <w:sz w:val="24"/>
          <w:szCs w:val="24"/>
        </w:rPr>
        <w:t>by 2050,</w:t>
      </w:r>
      <w:r w:rsidR="00115688" w:rsidRPr="006340BE">
        <w:rPr>
          <w:rFonts w:ascii="Times New Roman" w:hAnsi="Times New Roman" w:cs="Times New Roman"/>
          <w:color w:val="000000" w:themeColor="text1"/>
          <w:sz w:val="24"/>
          <w:szCs w:val="24"/>
        </w:rPr>
        <w:t xml:space="preserve"> </w:t>
      </w:r>
      <w:r w:rsidR="00115688">
        <w:rPr>
          <w:rFonts w:ascii="Times New Roman" w:hAnsi="Times New Roman" w:cs="Times New Roman"/>
          <w:color w:val="000000" w:themeColor="text1"/>
          <w:sz w:val="24"/>
          <w:szCs w:val="24"/>
        </w:rPr>
        <w:t>and the Commission has proposed</w:t>
      </w:r>
      <w:r w:rsidR="00115688" w:rsidRPr="006340BE" w:rsidDel="00115688">
        <w:rPr>
          <w:rFonts w:ascii="Times New Roman" w:hAnsi="Times New Roman" w:cs="Times New Roman"/>
          <w:color w:val="000000" w:themeColor="text1"/>
          <w:sz w:val="24"/>
          <w:szCs w:val="24"/>
        </w:rPr>
        <w:t xml:space="preserve"> </w:t>
      </w:r>
      <w:r w:rsidRPr="006340BE">
        <w:rPr>
          <w:rFonts w:ascii="Times New Roman" w:hAnsi="Times New Roman" w:cs="Times New Roman"/>
          <w:color w:val="000000" w:themeColor="text1"/>
          <w:sz w:val="24"/>
          <w:szCs w:val="24"/>
        </w:rPr>
        <w:t>a</w:t>
      </w:r>
      <w:r w:rsidR="002E37D8" w:rsidRPr="006340BE">
        <w:rPr>
          <w:rFonts w:ascii="Times New Roman" w:hAnsi="Times New Roman" w:cs="Times New Roman"/>
          <w:color w:val="000000" w:themeColor="text1"/>
          <w:sz w:val="24"/>
          <w:szCs w:val="24"/>
        </w:rPr>
        <w:t>n ambitious target</w:t>
      </w:r>
      <w:r w:rsidRPr="006340BE">
        <w:rPr>
          <w:rFonts w:ascii="Times New Roman" w:hAnsi="Times New Roman" w:cs="Times New Roman"/>
          <w:color w:val="000000" w:themeColor="text1"/>
          <w:sz w:val="24"/>
          <w:szCs w:val="24"/>
        </w:rPr>
        <w:t xml:space="preserve"> </w:t>
      </w:r>
      <w:r w:rsidR="002E37D8" w:rsidRPr="006340BE">
        <w:rPr>
          <w:rFonts w:ascii="Times New Roman" w:hAnsi="Times New Roman" w:cs="Times New Roman"/>
          <w:color w:val="000000" w:themeColor="text1"/>
          <w:sz w:val="24"/>
          <w:szCs w:val="24"/>
        </w:rPr>
        <w:t>of</w:t>
      </w:r>
      <w:r w:rsidR="009711C7" w:rsidRPr="006340BE">
        <w:rPr>
          <w:rFonts w:ascii="Times New Roman" w:hAnsi="Times New Roman" w:cs="Times New Roman"/>
          <w:color w:val="000000" w:themeColor="text1"/>
          <w:sz w:val="24"/>
          <w:szCs w:val="24"/>
        </w:rPr>
        <w:t xml:space="preserve"> at least</w:t>
      </w:r>
      <w:r w:rsidR="002E37D8" w:rsidRPr="006340BE">
        <w:rPr>
          <w:rFonts w:ascii="Times New Roman" w:hAnsi="Times New Roman" w:cs="Times New Roman"/>
          <w:color w:val="000000" w:themeColor="text1"/>
          <w:sz w:val="24"/>
          <w:szCs w:val="24"/>
        </w:rPr>
        <w:t xml:space="preserve"> </w:t>
      </w:r>
      <w:r w:rsidRPr="006340BE">
        <w:rPr>
          <w:rFonts w:ascii="Times New Roman" w:hAnsi="Times New Roman" w:cs="Times New Roman"/>
          <w:color w:val="000000" w:themeColor="text1"/>
          <w:sz w:val="24"/>
          <w:szCs w:val="24"/>
        </w:rPr>
        <w:t xml:space="preserve">55% reduction in </w:t>
      </w:r>
      <w:r w:rsidR="009711C7" w:rsidRPr="006340BE">
        <w:rPr>
          <w:rFonts w:ascii="Times New Roman" w:hAnsi="Times New Roman" w:cs="Times New Roman"/>
          <w:color w:val="000000" w:themeColor="text1"/>
          <w:sz w:val="24"/>
          <w:szCs w:val="24"/>
        </w:rPr>
        <w:t xml:space="preserve">greenhouse </w:t>
      </w:r>
      <w:r w:rsidRPr="006340BE">
        <w:rPr>
          <w:rFonts w:ascii="Times New Roman" w:hAnsi="Times New Roman" w:cs="Times New Roman"/>
          <w:color w:val="000000" w:themeColor="text1"/>
          <w:sz w:val="24"/>
          <w:szCs w:val="24"/>
        </w:rPr>
        <w:t>emissions by 2030</w:t>
      </w:r>
      <w:r w:rsidR="003D4CD7">
        <w:rPr>
          <w:rFonts w:ascii="Times New Roman" w:hAnsi="Times New Roman" w:cs="Times New Roman"/>
          <w:color w:val="000000" w:themeColor="text1"/>
          <w:sz w:val="24"/>
          <w:szCs w:val="24"/>
        </w:rPr>
        <w:t xml:space="preserve"> compared to 1990</w:t>
      </w:r>
      <w:r w:rsidRPr="006340BE">
        <w:rPr>
          <w:rFonts w:ascii="Times New Roman" w:hAnsi="Times New Roman" w:cs="Times New Roman"/>
          <w:color w:val="000000" w:themeColor="text1"/>
          <w:sz w:val="24"/>
          <w:szCs w:val="24"/>
        </w:rPr>
        <w:t>.</w:t>
      </w:r>
      <w:r w:rsidR="0086541F" w:rsidRPr="006340BE">
        <w:rPr>
          <w:rFonts w:ascii="Times New Roman" w:hAnsi="Times New Roman" w:cs="Times New Roman"/>
          <w:color w:val="000000" w:themeColor="text1"/>
          <w:sz w:val="24"/>
          <w:szCs w:val="24"/>
        </w:rPr>
        <w:t xml:space="preserve"> Accelerating research and innovation and improving the collaboration between private and public </w:t>
      </w:r>
      <w:proofErr w:type="gramStart"/>
      <w:r w:rsidR="0086541F" w:rsidRPr="006340BE">
        <w:rPr>
          <w:rFonts w:ascii="Times New Roman" w:hAnsi="Times New Roman" w:cs="Times New Roman"/>
          <w:color w:val="000000" w:themeColor="text1"/>
          <w:sz w:val="24"/>
          <w:szCs w:val="24"/>
        </w:rPr>
        <w:t>R&amp;I</w:t>
      </w:r>
      <w:proofErr w:type="gramEnd"/>
      <w:r w:rsidR="0086541F" w:rsidRPr="006340BE">
        <w:rPr>
          <w:rFonts w:ascii="Times New Roman" w:hAnsi="Times New Roman" w:cs="Times New Roman"/>
          <w:color w:val="000000" w:themeColor="text1"/>
          <w:sz w:val="24"/>
          <w:szCs w:val="24"/>
        </w:rPr>
        <w:t xml:space="preserve"> in the Member States towards early market deployment of clean technology solutions is vital for reaching these targets and provides an economic opportunity for the EU.</w:t>
      </w:r>
      <w:r w:rsidR="00092A79" w:rsidRPr="006340BE">
        <w:rPr>
          <w:rFonts w:ascii="Times New Roman" w:hAnsi="Times New Roman" w:cs="Times New Roman"/>
          <w:noProof/>
          <w:color w:val="000000" w:themeColor="text1"/>
          <w:sz w:val="24"/>
          <w:szCs w:val="24"/>
        </w:rPr>
        <w:t xml:space="preserve"> It is also important to develop</w:t>
      </w:r>
      <w:r w:rsidR="00092A79" w:rsidRPr="006340BE">
        <w:rPr>
          <w:rFonts w:ascii="Times New Roman" w:hAnsi="Times New Roman" w:cs="Times New Roman"/>
          <w:color w:val="000000" w:themeColor="text1"/>
          <w:sz w:val="24"/>
          <w:szCs w:val="24"/>
        </w:rPr>
        <w:t xml:space="preserve"> strategic supply chains of industrial capabilities in clean technologies</w:t>
      </w:r>
      <w:r w:rsidR="00092A79" w:rsidRPr="006340BE">
        <w:rPr>
          <w:rFonts w:ascii="Times New Roman" w:hAnsi="Times New Roman" w:cs="Times New Roman"/>
          <w:color w:val="000000" w:themeColor="text1"/>
          <w:sz w:val="24"/>
          <w:szCs w:val="24"/>
          <w:vertAlign w:val="superscript"/>
        </w:rPr>
        <w:footnoteReference w:id="14"/>
      </w:r>
      <w:r w:rsidR="00092A79" w:rsidRPr="006340BE">
        <w:rPr>
          <w:rFonts w:ascii="Times New Roman" w:hAnsi="Times New Roman" w:cs="Times New Roman"/>
          <w:color w:val="000000" w:themeColor="text1"/>
          <w:sz w:val="24"/>
          <w:szCs w:val="24"/>
        </w:rPr>
        <w:t>.</w:t>
      </w:r>
      <w:r w:rsidR="00115688">
        <w:rPr>
          <w:rFonts w:ascii="Times New Roman" w:hAnsi="Times New Roman" w:cs="Times New Roman"/>
          <w:color w:val="000000" w:themeColor="text1"/>
          <w:sz w:val="24"/>
          <w:szCs w:val="24"/>
        </w:rPr>
        <w:t xml:space="preserve"> </w:t>
      </w:r>
      <w:r w:rsidR="00115688" w:rsidRPr="0011009A">
        <w:rPr>
          <w:rFonts w:ascii="Times New Roman" w:hAnsi="Times New Roman" w:cs="Times New Roman"/>
          <w:color w:val="000000" w:themeColor="text1"/>
          <w:sz w:val="24"/>
          <w:szCs w:val="24"/>
        </w:rPr>
        <w:t>Similarly, the COVID-19 pandemic has brought to the forefront the vulnerabilities of our relationship with nature and emphasised the need for healthier and more sustainable lifestyles. R&amp;I can be instrumental in accelerating a positive change, for example in the area of more sustainable farming practices or plant-based diets.</w:t>
      </w:r>
    </w:p>
    <w:p w14:paraId="7AABB5C0" w14:textId="0A465117" w:rsidR="003B19FE" w:rsidRDefault="003B19FE">
      <w:pPr>
        <w:spacing w:before="120" w:after="0" w:line="240" w:lineRule="auto"/>
        <w:jc w:val="both"/>
        <w:rPr>
          <w:rFonts w:ascii="Times New Roman" w:hAnsi="Times New Roman" w:cs="Times New Roman"/>
          <w:color w:val="000000" w:themeColor="text1"/>
          <w:sz w:val="24"/>
          <w:szCs w:val="24"/>
        </w:rPr>
      </w:pPr>
      <w:r w:rsidRPr="004E416A">
        <w:rPr>
          <w:rFonts w:ascii="Times New Roman" w:hAnsi="Times New Roman" w:cs="Times New Roman"/>
          <w:color w:val="000000" w:themeColor="text1"/>
          <w:sz w:val="24"/>
          <w:szCs w:val="24"/>
        </w:rPr>
        <w:t>As highlighted in the EU wide assessment of National Energy and Climate Plans</w:t>
      </w:r>
      <w:r>
        <w:rPr>
          <w:rStyle w:val="FootnoteReference"/>
          <w:rFonts w:ascii="Times New Roman" w:hAnsi="Times New Roman" w:cs="Times New Roman"/>
          <w:color w:val="000000" w:themeColor="text1"/>
          <w:sz w:val="24"/>
          <w:szCs w:val="24"/>
        </w:rPr>
        <w:footnoteReference w:id="15"/>
      </w:r>
      <w:r w:rsidRPr="004E416A">
        <w:rPr>
          <w:rFonts w:ascii="Times New Roman" w:hAnsi="Times New Roman" w:cs="Times New Roman"/>
          <w:color w:val="000000" w:themeColor="text1"/>
          <w:sz w:val="24"/>
          <w:szCs w:val="24"/>
        </w:rPr>
        <w:t>, Member States need to identify policies and measures to improve preparedness and enhance resilience in respect of clean tech</w:t>
      </w:r>
      <w:r>
        <w:rPr>
          <w:rFonts w:ascii="Times New Roman" w:hAnsi="Times New Roman" w:cs="Times New Roman"/>
          <w:color w:val="000000" w:themeColor="text1"/>
          <w:sz w:val="24"/>
          <w:szCs w:val="24"/>
        </w:rPr>
        <w:t>n</w:t>
      </w:r>
      <w:r w:rsidRPr="004E416A">
        <w:rPr>
          <w:rFonts w:ascii="Times New Roman" w:hAnsi="Times New Roman" w:cs="Times New Roman"/>
          <w:color w:val="000000" w:themeColor="text1"/>
          <w:sz w:val="24"/>
          <w:szCs w:val="24"/>
        </w:rPr>
        <w:t xml:space="preserve">ologies for the next decade. </w:t>
      </w:r>
    </w:p>
    <w:p w14:paraId="1F345919" w14:textId="517AD8C9" w:rsidR="006A7BE1" w:rsidRPr="006340BE" w:rsidRDefault="00FC4B87">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lastRenderedPageBreak/>
        <w:t xml:space="preserve">The next ten years are Europe’s Digital Decade. The </w:t>
      </w:r>
      <w:r w:rsidR="001A2B70" w:rsidRPr="006340BE">
        <w:rPr>
          <w:rFonts w:ascii="Times New Roman" w:hAnsi="Times New Roman" w:cs="Times New Roman"/>
          <w:color w:val="000000" w:themeColor="text1"/>
          <w:sz w:val="24"/>
          <w:szCs w:val="24"/>
        </w:rPr>
        <w:t>C</w:t>
      </w:r>
      <w:r w:rsidR="001A2B70">
        <w:rPr>
          <w:rFonts w:ascii="Times New Roman" w:hAnsi="Times New Roman" w:cs="Times New Roman"/>
          <w:color w:val="000000" w:themeColor="text1"/>
          <w:sz w:val="24"/>
          <w:szCs w:val="24"/>
        </w:rPr>
        <w:t>OVID</w:t>
      </w:r>
      <w:r w:rsidRPr="006340BE">
        <w:rPr>
          <w:rFonts w:ascii="Times New Roman" w:hAnsi="Times New Roman" w:cs="Times New Roman"/>
          <w:color w:val="000000" w:themeColor="text1"/>
          <w:sz w:val="24"/>
          <w:szCs w:val="24"/>
        </w:rPr>
        <w:t xml:space="preserve">-19 pandemic has shown the importance of state-of-art digital technologies, based on European values, for the resilience of the economy and the society. Digital transformation is also a key enabler of the Green Deal. </w:t>
      </w:r>
      <w:r w:rsidR="006A7BE1" w:rsidRPr="006340BE">
        <w:rPr>
          <w:rFonts w:ascii="Times New Roman" w:hAnsi="Times New Roman" w:cs="Times New Roman"/>
          <w:color w:val="000000" w:themeColor="text1"/>
          <w:sz w:val="24"/>
          <w:szCs w:val="24"/>
          <w:lang w:val="en-IE"/>
        </w:rPr>
        <w:t xml:space="preserve">The Industrial Strategy, </w:t>
      </w:r>
      <w:r w:rsidR="00B53354" w:rsidRPr="00B53354">
        <w:rPr>
          <w:rFonts w:ascii="Times New Roman" w:hAnsi="Times New Roman" w:cs="Times New Roman"/>
          <w:color w:val="000000" w:themeColor="text1"/>
          <w:sz w:val="24"/>
          <w:szCs w:val="24"/>
          <w:lang w:val="en-IE"/>
        </w:rPr>
        <w:t>the European Skills Agenda for Sustainable Competitiveness, Social Fairness and Resilience,</w:t>
      </w:r>
      <w:r w:rsidR="00B53354">
        <w:rPr>
          <w:rFonts w:ascii="Times New Roman" w:hAnsi="Times New Roman" w:cs="Times New Roman"/>
          <w:color w:val="000000" w:themeColor="text1"/>
          <w:sz w:val="24"/>
          <w:szCs w:val="24"/>
          <w:lang w:val="en-IE"/>
        </w:rPr>
        <w:t xml:space="preserve"> </w:t>
      </w:r>
      <w:r w:rsidR="006A7BE1" w:rsidRPr="006340BE">
        <w:rPr>
          <w:rFonts w:ascii="Times New Roman" w:hAnsi="Times New Roman" w:cs="Times New Roman"/>
          <w:color w:val="000000" w:themeColor="text1"/>
          <w:sz w:val="24"/>
          <w:szCs w:val="24"/>
          <w:lang w:val="en-IE"/>
        </w:rPr>
        <w:t xml:space="preserve">the Digital Education Action Plan and the new European Education Area, </w:t>
      </w:r>
      <w:r w:rsidRPr="006340BE">
        <w:rPr>
          <w:rFonts w:ascii="Times New Roman" w:hAnsi="Times New Roman" w:cs="Times New Roman"/>
          <w:color w:val="000000" w:themeColor="text1"/>
          <w:sz w:val="24"/>
          <w:szCs w:val="24"/>
          <w:lang w:val="en-IE"/>
        </w:rPr>
        <w:t>are strategies that will guide the development and roll-out of digital technologies as well as the take up of digital skills in the EU</w:t>
      </w:r>
      <w:r w:rsidR="006A7BE1" w:rsidRPr="006340BE">
        <w:rPr>
          <w:rFonts w:ascii="Times New Roman" w:hAnsi="Times New Roman" w:cs="Times New Roman"/>
          <w:color w:val="000000" w:themeColor="text1"/>
          <w:sz w:val="24"/>
          <w:szCs w:val="24"/>
        </w:rPr>
        <w:t>.</w:t>
      </w:r>
      <w:r w:rsidR="000F7050" w:rsidRPr="006340BE">
        <w:rPr>
          <w:rFonts w:ascii="Times New Roman" w:hAnsi="Times New Roman" w:cs="Times New Roman"/>
          <w:color w:val="000000" w:themeColor="text1"/>
          <w:sz w:val="24"/>
          <w:szCs w:val="24"/>
        </w:rPr>
        <w:t xml:space="preserve"> Europe must also focus on enhancing its </w:t>
      </w:r>
      <w:r w:rsidR="00793033">
        <w:rPr>
          <w:rFonts w:ascii="Times New Roman" w:hAnsi="Times New Roman" w:cs="Times New Roman"/>
          <w:color w:val="000000" w:themeColor="text1"/>
          <w:sz w:val="24"/>
          <w:szCs w:val="24"/>
        </w:rPr>
        <w:t xml:space="preserve">model of </w:t>
      </w:r>
      <w:r w:rsidRPr="006340BE">
        <w:rPr>
          <w:rFonts w:ascii="Times New Roman" w:hAnsi="Times New Roman" w:cs="Times New Roman"/>
          <w:color w:val="000000" w:themeColor="text1"/>
          <w:sz w:val="24"/>
          <w:szCs w:val="24"/>
        </w:rPr>
        <w:t xml:space="preserve">open </w:t>
      </w:r>
      <w:r w:rsidR="000F7050" w:rsidRPr="006340BE">
        <w:rPr>
          <w:rFonts w:ascii="Times New Roman" w:hAnsi="Times New Roman" w:cs="Times New Roman"/>
          <w:color w:val="000000" w:themeColor="text1"/>
          <w:sz w:val="24"/>
          <w:szCs w:val="24"/>
        </w:rPr>
        <w:t>strategic autonomy, economic security and potential for job creation.</w:t>
      </w:r>
    </w:p>
    <w:p w14:paraId="320237AB" w14:textId="70DB8935" w:rsidR="008416FC" w:rsidRPr="006340BE" w:rsidRDefault="008416FC">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The </w:t>
      </w:r>
      <w:r w:rsidR="001A2B70" w:rsidRPr="006340BE">
        <w:rPr>
          <w:rFonts w:ascii="Times New Roman" w:hAnsi="Times New Roman" w:cs="Times New Roman"/>
          <w:color w:val="000000" w:themeColor="text1"/>
          <w:sz w:val="24"/>
          <w:szCs w:val="24"/>
        </w:rPr>
        <w:t>C</w:t>
      </w:r>
      <w:r w:rsidR="001A2B70">
        <w:rPr>
          <w:rFonts w:ascii="Times New Roman" w:hAnsi="Times New Roman" w:cs="Times New Roman"/>
          <w:color w:val="000000" w:themeColor="text1"/>
          <w:sz w:val="24"/>
          <w:szCs w:val="24"/>
        </w:rPr>
        <w:t>OVID</w:t>
      </w:r>
      <w:r w:rsidR="00FF1DC8" w:rsidRPr="006340BE">
        <w:rPr>
          <w:rFonts w:ascii="Times New Roman" w:hAnsi="Times New Roman" w:cs="Times New Roman"/>
          <w:color w:val="000000" w:themeColor="text1"/>
          <w:sz w:val="24"/>
          <w:szCs w:val="24"/>
        </w:rPr>
        <w:t>-19 pandemic</w:t>
      </w:r>
      <w:r w:rsidRPr="006340BE">
        <w:rPr>
          <w:rFonts w:ascii="Times New Roman" w:hAnsi="Times New Roman" w:cs="Times New Roman"/>
          <w:color w:val="000000" w:themeColor="text1"/>
          <w:sz w:val="24"/>
          <w:szCs w:val="24"/>
        </w:rPr>
        <w:t xml:space="preserve"> has demonstrated the importance of R&amp;I cooperation to rapidly deliver solutions to the most demanding needs. The </w:t>
      </w:r>
      <w:proofErr w:type="spellStart"/>
      <w:r w:rsidRPr="006340BE">
        <w:rPr>
          <w:rFonts w:ascii="Times New Roman" w:hAnsi="Times New Roman" w:cs="Times New Roman"/>
          <w:color w:val="000000" w:themeColor="text1"/>
          <w:sz w:val="24"/>
          <w:szCs w:val="24"/>
        </w:rPr>
        <w:t>ERAvsCorona</w:t>
      </w:r>
      <w:proofErr w:type="spellEnd"/>
      <w:r w:rsidRPr="006340BE">
        <w:rPr>
          <w:rFonts w:ascii="Times New Roman" w:hAnsi="Times New Roman" w:cs="Times New Roman"/>
          <w:color w:val="000000" w:themeColor="text1"/>
          <w:sz w:val="24"/>
          <w:szCs w:val="24"/>
        </w:rPr>
        <w:t xml:space="preserve"> action plan</w:t>
      </w:r>
      <w:r w:rsidRPr="006340BE">
        <w:rPr>
          <w:rStyle w:val="FootnoteReference"/>
          <w:rFonts w:ascii="Times New Roman" w:hAnsi="Times New Roman" w:cs="Times New Roman"/>
          <w:color w:val="000000" w:themeColor="text1"/>
          <w:sz w:val="24"/>
          <w:szCs w:val="24"/>
        </w:rPr>
        <w:footnoteReference w:id="16"/>
      </w:r>
      <w:r w:rsidRPr="006340BE">
        <w:rPr>
          <w:rFonts w:ascii="Times New Roman" w:hAnsi="Times New Roman" w:cs="Times New Roman"/>
          <w:color w:val="000000" w:themeColor="text1"/>
          <w:sz w:val="24"/>
          <w:szCs w:val="24"/>
        </w:rPr>
        <w:t xml:space="preserve"> and the International Pledging Conference</w:t>
      </w:r>
      <w:r w:rsidRPr="006340BE">
        <w:rPr>
          <w:rStyle w:val="FootnoteReference"/>
          <w:rFonts w:ascii="Times New Roman" w:hAnsi="Times New Roman" w:cs="Times New Roman"/>
          <w:color w:val="000000" w:themeColor="text1"/>
          <w:sz w:val="24"/>
          <w:szCs w:val="24"/>
        </w:rPr>
        <w:footnoteReference w:id="17"/>
      </w:r>
      <w:r w:rsidRPr="006340BE">
        <w:rPr>
          <w:rFonts w:ascii="Times New Roman" w:hAnsi="Times New Roman" w:cs="Times New Roman"/>
          <w:color w:val="000000" w:themeColor="text1"/>
          <w:sz w:val="24"/>
          <w:szCs w:val="24"/>
        </w:rPr>
        <w:t xml:space="preserve"> are examples of rapid joint responses to such crises. </w:t>
      </w:r>
    </w:p>
    <w:p w14:paraId="789374A0" w14:textId="13C84AF4" w:rsidR="00DD31BC" w:rsidRPr="006340BE" w:rsidRDefault="00492D1C">
      <w:pPr>
        <w:spacing w:before="120"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Although t</w:t>
      </w:r>
      <w:r w:rsidR="00F76423" w:rsidRPr="006340BE">
        <w:rPr>
          <w:rFonts w:ascii="Times New Roman" w:hAnsi="Times New Roman" w:cs="Times New Roman"/>
          <w:color w:val="000000" w:themeColor="text1"/>
          <w:sz w:val="24"/>
          <w:szCs w:val="24"/>
        </w:rPr>
        <w:t xml:space="preserve">he EU </w:t>
      </w:r>
      <w:r w:rsidR="00306594" w:rsidRPr="006340BE">
        <w:rPr>
          <w:rFonts w:ascii="Times New Roman" w:hAnsi="Times New Roman" w:cs="Times New Roman"/>
          <w:color w:val="000000" w:themeColor="text1"/>
          <w:sz w:val="24"/>
          <w:szCs w:val="24"/>
        </w:rPr>
        <w:t xml:space="preserve">is </w:t>
      </w:r>
      <w:r>
        <w:rPr>
          <w:rFonts w:ascii="Times New Roman" w:hAnsi="Times New Roman" w:cs="Times New Roman"/>
          <w:color w:val="000000" w:themeColor="text1"/>
          <w:sz w:val="24"/>
          <w:szCs w:val="24"/>
        </w:rPr>
        <w:t xml:space="preserve">still </w:t>
      </w:r>
      <w:r w:rsidR="00306594" w:rsidRPr="006340BE">
        <w:rPr>
          <w:rFonts w:ascii="Times New Roman" w:hAnsi="Times New Roman" w:cs="Times New Roman"/>
          <w:color w:val="000000" w:themeColor="text1"/>
          <w:sz w:val="24"/>
          <w:szCs w:val="24"/>
        </w:rPr>
        <w:t xml:space="preserve">a </w:t>
      </w:r>
      <w:r w:rsidR="00024379" w:rsidRPr="006340BE">
        <w:rPr>
          <w:rFonts w:ascii="Times New Roman" w:hAnsi="Times New Roman" w:cs="Times New Roman"/>
          <w:color w:val="000000" w:themeColor="text1"/>
          <w:sz w:val="24"/>
          <w:szCs w:val="24"/>
        </w:rPr>
        <w:t xml:space="preserve">global </w:t>
      </w:r>
      <w:r w:rsidR="00306594" w:rsidRPr="006340BE">
        <w:rPr>
          <w:rFonts w:ascii="Times New Roman" w:hAnsi="Times New Roman" w:cs="Times New Roman"/>
          <w:color w:val="000000" w:themeColor="text1"/>
          <w:sz w:val="24"/>
          <w:szCs w:val="24"/>
        </w:rPr>
        <w:t>leader</w:t>
      </w:r>
      <w:r w:rsidR="00F76423" w:rsidRPr="006340BE">
        <w:rPr>
          <w:rFonts w:ascii="Times New Roman" w:hAnsi="Times New Roman" w:cs="Times New Roman"/>
          <w:color w:val="000000" w:themeColor="text1"/>
          <w:sz w:val="24"/>
          <w:szCs w:val="24"/>
        </w:rPr>
        <w:t xml:space="preserve"> in research</w:t>
      </w:r>
      <w:r w:rsidR="008739C2" w:rsidRPr="006340BE">
        <w:rPr>
          <w:rFonts w:ascii="Times New Roman" w:hAnsi="Times New Roman" w:cs="Times New Roman"/>
          <w:color w:val="000000" w:themeColor="text1"/>
          <w:sz w:val="24"/>
          <w:szCs w:val="24"/>
        </w:rPr>
        <w:t xml:space="preserve"> and innovation</w:t>
      </w:r>
      <w:r>
        <w:rPr>
          <w:rFonts w:ascii="Times New Roman" w:hAnsi="Times New Roman" w:cs="Times New Roman"/>
          <w:color w:val="000000" w:themeColor="text1"/>
          <w:sz w:val="24"/>
          <w:szCs w:val="24"/>
        </w:rPr>
        <w:t>, i</w:t>
      </w:r>
      <w:r w:rsidR="00F76423" w:rsidRPr="006340BE">
        <w:rPr>
          <w:rFonts w:ascii="Times New Roman" w:hAnsi="Times New Roman" w:cs="Times New Roman"/>
          <w:color w:val="000000" w:themeColor="text1"/>
          <w:sz w:val="24"/>
          <w:szCs w:val="24"/>
        </w:rPr>
        <w:t>ts performance has stagnated since 2012</w:t>
      </w:r>
      <w:r w:rsidR="008739C2" w:rsidRPr="006340BE">
        <w:rPr>
          <w:rFonts w:ascii="Times New Roman" w:hAnsi="Times New Roman" w:cs="Times New Roman"/>
          <w:color w:val="000000" w:themeColor="text1"/>
          <w:sz w:val="24"/>
          <w:szCs w:val="24"/>
        </w:rPr>
        <w:t xml:space="preserve">, </w:t>
      </w:r>
      <w:r w:rsidR="00951564">
        <w:rPr>
          <w:rFonts w:ascii="Times New Roman" w:hAnsi="Times New Roman" w:cs="Times New Roman"/>
          <w:color w:val="000000" w:themeColor="text1"/>
          <w:sz w:val="24"/>
          <w:szCs w:val="24"/>
        </w:rPr>
        <w:t xml:space="preserve">and </w:t>
      </w:r>
      <w:r w:rsidR="00F76423" w:rsidRPr="006340BE">
        <w:rPr>
          <w:rFonts w:ascii="Times New Roman" w:hAnsi="Times New Roman" w:cs="Times New Roman"/>
          <w:color w:val="000000" w:themeColor="text1"/>
          <w:sz w:val="24"/>
          <w:szCs w:val="24"/>
        </w:rPr>
        <w:t xml:space="preserve">major players, from Asia in particular, are gradually growing and occupying a more prominent position on the global R&amp;I and technological landscape. </w:t>
      </w:r>
      <w:r w:rsidR="00DC7EA8" w:rsidRPr="006340BE">
        <w:rPr>
          <w:rFonts w:ascii="Times New Roman" w:hAnsi="Times New Roman" w:cs="Times New Roman"/>
          <w:color w:val="000000" w:themeColor="text1"/>
          <w:sz w:val="24"/>
          <w:szCs w:val="24"/>
        </w:rPr>
        <w:t>While R&amp;I is the engine of long-term productivity growth</w:t>
      </w:r>
      <w:r w:rsidR="00DC7EA8" w:rsidRPr="006340BE">
        <w:rPr>
          <w:color w:val="000000" w:themeColor="text1"/>
          <w:vertAlign w:val="superscript"/>
        </w:rPr>
        <w:footnoteReference w:id="18"/>
      </w:r>
      <w:r w:rsidR="00DC7EA8" w:rsidRPr="006340BE">
        <w:rPr>
          <w:rFonts w:ascii="Times New Roman" w:hAnsi="Times New Roman" w:cs="Times New Roman"/>
          <w:color w:val="000000" w:themeColor="text1"/>
          <w:sz w:val="24"/>
          <w:szCs w:val="24"/>
        </w:rPr>
        <w:t>, Europe continues to lag behind in turning the outcomes of its excellent research into disruptive innovation</w:t>
      </w:r>
      <w:r w:rsidR="00FC4CB3" w:rsidRPr="00FC4CB3">
        <w:rPr>
          <w:rFonts w:ascii="Times New Roman" w:hAnsi="Times New Roman" w:cs="Times New Roman"/>
          <w:color w:val="000000" w:themeColor="text1"/>
          <w:sz w:val="24"/>
          <w:szCs w:val="24"/>
        </w:rPr>
        <w:t xml:space="preserve"> </w:t>
      </w:r>
      <w:r w:rsidR="00FC4CB3">
        <w:rPr>
          <w:rFonts w:ascii="Times New Roman" w:hAnsi="Times New Roman" w:cs="Times New Roman"/>
          <w:color w:val="000000" w:themeColor="text1"/>
          <w:sz w:val="24"/>
          <w:szCs w:val="24"/>
        </w:rPr>
        <w:t>and fails to fully mobilise research and technological capacities in less developed regions</w:t>
      </w:r>
      <w:r w:rsidR="00DC7EA8" w:rsidRPr="006340BE">
        <w:rPr>
          <w:rFonts w:ascii="Times New Roman" w:hAnsi="Times New Roman" w:cs="Times New Roman"/>
          <w:color w:val="000000" w:themeColor="text1"/>
          <w:sz w:val="24"/>
          <w:szCs w:val="24"/>
        </w:rPr>
        <w:t>.</w:t>
      </w:r>
      <w:r w:rsidR="000F7050" w:rsidRPr="006340BE">
        <w:rPr>
          <w:rFonts w:ascii="Times New Roman" w:hAnsi="Times New Roman" w:cs="Times New Roman"/>
          <w:color w:val="000000" w:themeColor="text1"/>
          <w:sz w:val="24"/>
          <w:szCs w:val="24"/>
        </w:rPr>
        <w:t xml:space="preserve"> In this new context of growing global competition and volatile geopolitical interests, what is at stake is not only Europe’s prosperity and economic competitiveness, but also its ability to autonomously source and provide crucial raw materials, technologies and services that are safe and secure for industry and people.</w:t>
      </w:r>
    </w:p>
    <w:p w14:paraId="4406EA6F" w14:textId="5C9C3128" w:rsidR="00440976" w:rsidRPr="006340BE" w:rsidRDefault="00306594">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bCs/>
          <w:color w:val="000000" w:themeColor="text1"/>
          <w:sz w:val="24"/>
          <w:szCs w:val="24"/>
        </w:rPr>
        <w:t xml:space="preserve">Europe’s </w:t>
      </w:r>
      <w:r w:rsidR="00440976" w:rsidRPr="006340BE">
        <w:rPr>
          <w:rFonts w:ascii="Times New Roman" w:hAnsi="Times New Roman" w:cs="Times New Roman"/>
          <w:bCs/>
          <w:color w:val="000000" w:themeColor="text1"/>
          <w:sz w:val="24"/>
          <w:szCs w:val="24"/>
        </w:rPr>
        <w:t xml:space="preserve">shared values of democracy, solidarity and equality are assets to build on. To match these generational challenges, a new level of ambition that links better </w:t>
      </w:r>
      <w:proofErr w:type="gramStart"/>
      <w:r w:rsidR="00440976" w:rsidRPr="006340BE">
        <w:rPr>
          <w:rFonts w:ascii="Times New Roman" w:hAnsi="Times New Roman" w:cs="Times New Roman"/>
          <w:bCs/>
          <w:color w:val="000000" w:themeColor="text1"/>
          <w:sz w:val="24"/>
          <w:szCs w:val="24"/>
        </w:rPr>
        <w:t>R&amp;I</w:t>
      </w:r>
      <w:proofErr w:type="gramEnd"/>
      <w:r w:rsidR="00440976" w:rsidRPr="006340BE">
        <w:rPr>
          <w:rFonts w:ascii="Times New Roman" w:hAnsi="Times New Roman" w:cs="Times New Roman"/>
          <w:bCs/>
          <w:color w:val="000000" w:themeColor="text1"/>
          <w:sz w:val="24"/>
          <w:szCs w:val="24"/>
        </w:rPr>
        <w:t xml:space="preserve"> with</w:t>
      </w:r>
      <w:r w:rsidR="00440976" w:rsidRPr="006340BE">
        <w:rPr>
          <w:rFonts w:ascii="Times New Roman" w:hAnsi="Times New Roman"/>
          <w:bCs/>
          <w:color w:val="000000" w:themeColor="text1"/>
          <w:sz w:val="24"/>
        </w:rPr>
        <w:t xml:space="preserve"> the economy, as well as with education and </w:t>
      </w:r>
      <w:r w:rsidR="00440976" w:rsidRPr="006340BE">
        <w:rPr>
          <w:rFonts w:ascii="Times New Roman" w:hAnsi="Times New Roman" w:cs="Times New Roman"/>
          <w:bCs/>
          <w:color w:val="000000" w:themeColor="text1"/>
          <w:sz w:val="24"/>
          <w:szCs w:val="24"/>
        </w:rPr>
        <w:t>training is necessary to put EU’s scientific knowledge to work.</w:t>
      </w:r>
    </w:p>
    <w:p w14:paraId="7EA8D3F1" w14:textId="695A99EA" w:rsidR="008416FC" w:rsidRPr="006340BE" w:rsidRDefault="00FC1AF4">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Because it is anchored in the principle of excellence</w:t>
      </w:r>
      <w:r w:rsidRPr="006340BE">
        <w:rPr>
          <w:rStyle w:val="FootnoteReference"/>
          <w:rFonts w:ascii="Times New Roman" w:hAnsi="Times New Roman" w:cs="Times New Roman"/>
          <w:color w:val="000000" w:themeColor="text1"/>
          <w:sz w:val="24"/>
          <w:szCs w:val="24"/>
        </w:rPr>
        <w:footnoteReference w:id="19"/>
      </w:r>
      <w:r w:rsidRPr="006340BE">
        <w:rPr>
          <w:rFonts w:ascii="Times New Roman" w:hAnsi="Times New Roman" w:cs="Times New Roman"/>
          <w:color w:val="000000" w:themeColor="text1"/>
          <w:sz w:val="24"/>
          <w:szCs w:val="24"/>
        </w:rPr>
        <w:t xml:space="preserve"> and because of its ability to bring the national and the European level of </w:t>
      </w:r>
      <w:proofErr w:type="gramStart"/>
      <w:r w:rsidRPr="006340BE">
        <w:rPr>
          <w:rFonts w:ascii="Times New Roman" w:hAnsi="Times New Roman" w:cs="Times New Roman"/>
          <w:color w:val="000000" w:themeColor="text1"/>
          <w:sz w:val="24"/>
          <w:szCs w:val="24"/>
        </w:rPr>
        <w:t>R&amp;I</w:t>
      </w:r>
      <w:proofErr w:type="gramEnd"/>
      <w:r w:rsidRPr="006340BE">
        <w:rPr>
          <w:rFonts w:ascii="Times New Roman" w:hAnsi="Times New Roman" w:cs="Times New Roman"/>
          <w:color w:val="000000" w:themeColor="text1"/>
          <w:sz w:val="24"/>
          <w:szCs w:val="24"/>
        </w:rPr>
        <w:t xml:space="preserve"> policies together, the ERA has a key role to play </w:t>
      </w:r>
      <w:r w:rsidR="009711C7" w:rsidRPr="006340BE">
        <w:rPr>
          <w:rFonts w:ascii="Times New Roman" w:hAnsi="Times New Roman" w:cs="Times New Roman"/>
          <w:color w:val="000000" w:themeColor="text1"/>
          <w:sz w:val="24"/>
          <w:szCs w:val="24"/>
        </w:rPr>
        <w:t xml:space="preserve">in </w:t>
      </w:r>
      <w:r w:rsidR="00DD31BC" w:rsidRPr="006340BE">
        <w:rPr>
          <w:rFonts w:ascii="Times New Roman" w:hAnsi="Times New Roman" w:cs="Times New Roman"/>
          <w:color w:val="000000" w:themeColor="text1"/>
          <w:sz w:val="24"/>
          <w:szCs w:val="24"/>
        </w:rPr>
        <w:t>address</w:t>
      </w:r>
      <w:r w:rsidR="009711C7" w:rsidRPr="006340BE">
        <w:rPr>
          <w:rFonts w:ascii="Times New Roman" w:hAnsi="Times New Roman" w:cs="Times New Roman"/>
          <w:color w:val="000000" w:themeColor="text1"/>
          <w:sz w:val="24"/>
          <w:szCs w:val="24"/>
        </w:rPr>
        <w:t>ing</w:t>
      </w:r>
      <w:r w:rsidR="00DD31BC" w:rsidRPr="006340BE">
        <w:rPr>
          <w:rFonts w:ascii="Times New Roman" w:hAnsi="Times New Roman" w:cs="Times New Roman"/>
          <w:color w:val="000000" w:themeColor="text1"/>
          <w:sz w:val="24"/>
          <w:szCs w:val="24"/>
        </w:rPr>
        <w:t xml:space="preserve"> these challenges</w:t>
      </w:r>
      <w:r w:rsidRPr="006340BE">
        <w:rPr>
          <w:rFonts w:ascii="Times New Roman" w:hAnsi="Times New Roman" w:cs="Times New Roman"/>
          <w:color w:val="000000" w:themeColor="text1"/>
          <w:sz w:val="24"/>
          <w:szCs w:val="24"/>
        </w:rPr>
        <w:t xml:space="preserve">. Drawing on the lessons from the </w:t>
      </w:r>
      <w:r w:rsidR="001A2B70" w:rsidRPr="006340BE">
        <w:rPr>
          <w:rFonts w:ascii="Times New Roman" w:hAnsi="Times New Roman" w:cs="Times New Roman"/>
          <w:color w:val="000000" w:themeColor="text1"/>
          <w:sz w:val="24"/>
          <w:szCs w:val="24"/>
        </w:rPr>
        <w:t>C</w:t>
      </w:r>
      <w:r w:rsidR="001A2B70">
        <w:rPr>
          <w:rFonts w:ascii="Times New Roman" w:hAnsi="Times New Roman" w:cs="Times New Roman"/>
          <w:color w:val="000000" w:themeColor="text1"/>
          <w:sz w:val="24"/>
          <w:szCs w:val="24"/>
        </w:rPr>
        <w:t>OVID</w:t>
      </w:r>
      <w:r w:rsidRPr="006340BE">
        <w:rPr>
          <w:rFonts w:ascii="Times New Roman" w:hAnsi="Times New Roman" w:cs="Times New Roman"/>
          <w:color w:val="000000" w:themeColor="text1"/>
          <w:sz w:val="24"/>
          <w:szCs w:val="24"/>
        </w:rPr>
        <w:t xml:space="preserve">-19 crisis, </w:t>
      </w:r>
      <w:r w:rsidR="00B51028" w:rsidRPr="006340BE">
        <w:rPr>
          <w:rFonts w:ascii="Times New Roman" w:hAnsi="Times New Roman" w:cs="Times New Roman"/>
          <w:color w:val="000000" w:themeColor="text1"/>
          <w:sz w:val="24"/>
          <w:szCs w:val="24"/>
        </w:rPr>
        <w:t xml:space="preserve">the ERA </w:t>
      </w:r>
      <w:r w:rsidRPr="006340BE">
        <w:rPr>
          <w:rFonts w:ascii="Times New Roman" w:hAnsi="Times New Roman" w:cs="Times New Roman"/>
          <w:color w:val="000000" w:themeColor="text1"/>
          <w:sz w:val="24"/>
          <w:szCs w:val="24"/>
        </w:rPr>
        <w:t xml:space="preserve">needs to be strengthened and Member States need to be incentivised to </w:t>
      </w:r>
      <w:r w:rsidR="008416FC" w:rsidRPr="006340BE">
        <w:rPr>
          <w:rFonts w:ascii="Times New Roman" w:hAnsi="Times New Roman" w:cs="Times New Roman"/>
          <w:color w:val="000000" w:themeColor="text1"/>
          <w:sz w:val="24"/>
          <w:szCs w:val="24"/>
        </w:rPr>
        <w:t xml:space="preserve">reinforce R&amp;I at national </w:t>
      </w:r>
      <w:r w:rsidR="002A07E8">
        <w:rPr>
          <w:rFonts w:ascii="Times New Roman" w:hAnsi="Times New Roman" w:cs="Times New Roman"/>
          <w:color w:val="000000" w:themeColor="text1"/>
          <w:sz w:val="24"/>
          <w:szCs w:val="24"/>
        </w:rPr>
        <w:t>and regional</w:t>
      </w:r>
      <w:r w:rsidR="002A07E8" w:rsidRPr="006340BE">
        <w:rPr>
          <w:rFonts w:ascii="Times New Roman" w:hAnsi="Times New Roman" w:cs="Times New Roman"/>
          <w:color w:val="000000" w:themeColor="text1"/>
          <w:sz w:val="24"/>
          <w:szCs w:val="24"/>
        </w:rPr>
        <w:t xml:space="preserve"> </w:t>
      </w:r>
      <w:r w:rsidR="008416FC" w:rsidRPr="006340BE">
        <w:rPr>
          <w:rFonts w:ascii="Times New Roman" w:hAnsi="Times New Roman" w:cs="Times New Roman"/>
          <w:color w:val="000000" w:themeColor="text1"/>
          <w:sz w:val="24"/>
          <w:szCs w:val="24"/>
        </w:rPr>
        <w:t>level</w:t>
      </w:r>
      <w:r w:rsidR="002A07E8">
        <w:rPr>
          <w:rFonts w:ascii="Times New Roman" w:hAnsi="Times New Roman" w:cs="Times New Roman"/>
          <w:color w:val="000000" w:themeColor="text1"/>
          <w:sz w:val="24"/>
          <w:szCs w:val="24"/>
        </w:rPr>
        <w:t>s</w:t>
      </w:r>
      <w:r w:rsidR="008416FC" w:rsidRPr="006340BE">
        <w:rPr>
          <w:rFonts w:ascii="Times New Roman" w:hAnsi="Times New Roman" w:cs="Times New Roman"/>
          <w:color w:val="000000" w:themeColor="text1"/>
          <w:sz w:val="24"/>
          <w:szCs w:val="24"/>
        </w:rPr>
        <w:t xml:space="preserve"> and to deepen cooperation at the European level. </w:t>
      </w:r>
    </w:p>
    <w:p w14:paraId="6DE58F95" w14:textId="4F754275" w:rsidR="00F76423" w:rsidRPr="006340BE" w:rsidRDefault="00DD31BC">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To</w:t>
      </w:r>
      <w:r w:rsidR="001403B0" w:rsidRPr="006340BE">
        <w:rPr>
          <w:rFonts w:ascii="Times New Roman" w:hAnsi="Times New Roman" w:cs="Times New Roman"/>
          <w:color w:val="000000" w:themeColor="text1"/>
          <w:sz w:val="24"/>
          <w:szCs w:val="24"/>
        </w:rPr>
        <w:t xml:space="preserve"> foster global leadership, the ERA also needs to better incentivise its high-quality researchers and innovators to work together and become a pole of attraction for the world’s best talents. </w:t>
      </w:r>
    </w:p>
    <w:p w14:paraId="5E54B572" w14:textId="530FAC5F" w:rsidR="008416FC" w:rsidRPr="006340BE" w:rsidRDefault="00DD31BC">
      <w:pPr>
        <w:spacing w:before="120" w:after="0" w:line="240" w:lineRule="auto"/>
        <w:jc w:val="both"/>
        <w:rPr>
          <w:rFonts w:ascii="Times New Roman" w:hAnsi="Times New Roman"/>
          <w:color w:val="000000" w:themeColor="text1"/>
          <w:sz w:val="24"/>
        </w:rPr>
      </w:pPr>
      <w:r w:rsidRPr="006340BE">
        <w:rPr>
          <w:rFonts w:ascii="Times New Roman" w:hAnsi="Times New Roman"/>
          <w:color w:val="000000" w:themeColor="text1"/>
          <w:sz w:val="24"/>
        </w:rPr>
        <w:t>The EU will need to play its part:</w:t>
      </w:r>
      <w:r w:rsidR="00F76423" w:rsidRPr="006340BE">
        <w:rPr>
          <w:rFonts w:ascii="Times New Roman" w:hAnsi="Times New Roman"/>
          <w:color w:val="000000" w:themeColor="text1"/>
          <w:sz w:val="24"/>
        </w:rPr>
        <w:t xml:space="preserve"> </w:t>
      </w:r>
      <w:r w:rsidR="008416FC" w:rsidRPr="006340BE">
        <w:rPr>
          <w:rFonts w:ascii="Times New Roman" w:hAnsi="Times New Roman"/>
          <w:color w:val="000000" w:themeColor="text1"/>
          <w:sz w:val="24"/>
        </w:rPr>
        <w:t>facilitate quick and easy access to funding for cooperation and sharing of data, develop attractive career frameworks for researchers</w:t>
      </w:r>
      <w:r w:rsidR="00F76423" w:rsidRPr="006340BE">
        <w:rPr>
          <w:rFonts w:ascii="Times New Roman" w:hAnsi="Times New Roman"/>
          <w:color w:val="000000" w:themeColor="text1"/>
          <w:sz w:val="24"/>
        </w:rPr>
        <w:t>, equip them with the skills they need in a fast changing global world</w:t>
      </w:r>
      <w:r w:rsidR="008416FC" w:rsidRPr="006340BE">
        <w:rPr>
          <w:rFonts w:ascii="Times New Roman" w:hAnsi="Times New Roman"/>
          <w:color w:val="000000" w:themeColor="text1"/>
          <w:sz w:val="24"/>
        </w:rPr>
        <w:t xml:space="preserve"> and support state of the art research infrastructures.</w:t>
      </w:r>
    </w:p>
    <w:p w14:paraId="22CD56E0" w14:textId="53CF847E" w:rsidR="008416FC" w:rsidRPr="006340BE" w:rsidRDefault="00DD31BC">
      <w:pPr>
        <w:spacing w:before="120" w:after="0" w:line="240" w:lineRule="auto"/>
        <w:jc w:val="both"/>
        <w:rPr>
          <w:rFonts w:ascii="Times New Roman" w:hAnsi="Times New Roman"/>
          <w:color w:val="000000" w:themeColor="text1"/>
          <w:sz w:val="24"/>
        </w:rPr>
      </w:pPr>
      <w:r w:rsidRPr="006340BE">
        <w:rPr>
          <w:rFonts w:ascii="Times New Roman" w:hAnsi="Times New Roman"/>
          <w:color w:val="000000" w:themeColor="text1"/>
          <w:sz w:val="24"/>
        </w:rPr>
        <w:t>In parallel</w:t>
      </w:r>
      <w:r w:rsidRPr="006340BE">
        <w:rPr>
          <w:rFonts w:ascii="Times New Roman" w:hAnsi="Times New Roman" w:cs="Times New Roman"/>
          <w:color w:val="000000" w:themeColor="text1"/>
          <w:sz w:val="24"/>
          <w:szCs w:val="24"/>
        </w:rPr>
        <w:t xml:space="preserve">, a </w:t>
      </w:r>
      <w:r w:rsidR="008416FC" w:rsidRPr="006340BE">
        <w:rPr>
          <w:rFonts w:ascii="Times New Roman" w:hAnsi="Times New Roman" w:cs="Times New Roman"/>
          <w:color w:val="000000" w:themeColor="text1"/>
          <w:sz w:val="24"/>
          <w:szCs w:val="24"/>
        </w:rPr>
        <w:t xml:space="preserve">new ERA </w:t>
      </w:r>
      <w:r w:rsidRPr="006340BE">
        <w:rPr>
          <w:rFonts w:ascii="Times New Roman" w:hAnsi="Times New Roman" w:cs="Times New Roman"/>
          <w:color w:val="000000" w:themeColor="text1"/>
          <w:sz w:val="24"/>
          <w:szCs w:val="24"/>
        </w:rPr>
        <w:t xml:space="preserve">will need </w:t>
      </w:r>
      <w:r w:rsidR="008416FC" w:rsidRPr="006340BE">
        <w:rPr>
          <w:rFonts w:ascii="Times New Roman" w:hAnsi="Times New Roman" w:cs="Times New Roman"/>
          <w:color w:val="000000" w:themeColor="text1"/>
          <w:sz w:val="24"/>
          <w:szCs w:val="24"/>
        </w:rPr>
        <w:t>to boost Europe’s recovery</w:t>
      </w:r>
      <w:r w:rsidR="00BB6B57" w:rsidRPr="006340BE">
        <w:rPr>
          <w:rFonts w:ascii="Times New Roman" w:hAnsi="Times New Roman" w:cs="Times New Roman"/>
          <w:color w:val="000000" w:themeColor="text1"/>
          <w:sz w:val="24"/>
          <w:szCs w:val="24"/>
        </w:rPr>
        <w:t xml:space="preserve"> and to support its green and digital transitions</w:t>
      </w:r>
      <w:r w:rsidR="008416FC" w:rsidRPr="006340BE">
        <w:rPr>
          <w:rFonts w:ascii="Times New Roman" w:hAnsi="Times New Roman" w:cs="Times New Roman"/>
          <w:color w:val="000000" w:themeColor="text1"/>
          <w:sz w:val="24"/>
          <w:szCs w:val="24"/>
        </w:rPr>
        <w:t xml:space="preserve"> by supporting innovation based competitiveness </w:t>
      </w:r>
      <w:r w:rsidR="00BB6B57" w:rsidRPr="006340BE">
        <w:rPr>
          <w:rFonts w:ascii="Times New Roman" w:hAnsi="Times New Roman" w:cs="Times New Roman"/>
          <w:color w:val="000000" w:themeColor="text1"/>
          <w:sz w:val="24"/>
          <w:szCs w:val="24"/>
        </w:rPr>
        <w:t>and foster</w:t>
      </w:r>
      <w:r w:rsidR="00440976" w:rsidRPr="006340BE">
        <w:rPr>
          <w:rFonts w:ascii="Times New Roman" w:hAnsi="Times New Roman" w:cs="Times New Roman"/>
          <w:color w:val="000000" w:themeColor="text1"/>
          <w:sz w:val="24"/>
          <w:szCs w:val="24"/>
        </w:rPr>
        <w:t>ing</w:t>
      </w:r>
      <w:r w:rsidR="00BB6B57" w:rsidRPr="006340BE">
        <w:rPr>
          <w:rFonts w:ascii="Times New Roman" w:hAnsi="Times New Roman" w:cs="Times New Roman"/>
          <w:color w:val="000000" w:themeColor="text1"/>
          <w:sz w:val="24"/>
          <w:szCs w:val="24"/>
        </w:rPr>
        <w:t xml:space="preserve"> </w:t>
      </w:r>
      <w:r w:rsidR="008416FC" w:rsidRPr="006340BE">
        <w:rPr>
          <w:rFonts w:ascii="Times New Roman" w:hAnsi="Times New Roman" w:cs="Times New Roman"/>
          <w:color w:val="000000" w:themeColor="text1"/>
          <w:sz w:val="24"/>
          <w:szCs w:val="24"/>
        </w:rPr>
        <w:t>technological sovereignty in key strategic areas (e.g. Artificial Intelligence</w:t>
      </w:r>
      <w:r w:rsidR="00904AF9" w:rsidRPr="006340BE">
        <w:rPr>
          <w:rFonts w:ascii="Times New Roman" w:hAnsi="Times New Roman" w:cs="Times New Roman"/>
          <w:color w:val="000000" w:themeColor="text1"/>
          <w:sz w:val="24"/>
          <w:szCs w:val="24"/>
        </w:rPr>
        <w:t xml:space="preserve"> and data</w:t>
      </w:r>
      <w:r w:rsidR="008416FC" w:rsidRPr="006340BE">
        <w:rPr>
          <w:rFonts w:ascii="Times New Roman" w:hAnsi="Times New Roman" w:cs="Times New Roman"/>
          <w:color w:val="000000" w:themeColor="text1"/>
          <w:sz w:val="24"/>
          <w:szCs w:val="24"/>
        </w:rPr>
        <w:t xml:space="preserve">, </w:t>
      </w:r>
      <w:r w:rsidR="00904AF9" w:rsidRPr="006340BE">
        <w:rPr>
          <w:rFonts w:ascii="Times New Roman" w:hAnsi="Times New Roman" w:cs="Times New Roman"/>
          <w:color w:val="000000" w:themeColor="text1"/>
          <w:sz w:val="24"/>
          <w:szCs w:val="24"/>
        </w:rPr>
        <w:t xml:space="preserve">microelectronics, </w:t>
      </w:r>
      <w:r w:rsidR="008416FC" w:rsidRPr="006340BE">
        <w:rPr>
          <w:rFonts w:ascii="Times New Roman" w:hAnsi="Times New Roman" w:cs="Times New Roman"/>
          <w:color w:val="000000" w:themeColor="text1"/>
          <w:sz w:val="24"/>
          <w:szCs w:val="24"/>
        </w:rPr>
        <w:t xml:space="preserve">quantum computing, 5G, batteries, renewable energy, hydrogen, </w:t>
      </w:r>
      <w:r w:rsidR="0086541F" w:rsidRPr="006340BE">
        <w:rPr>
          <w:rFonts w:ascii="Times New Roman" w:hAnsi="Times New Roman" w:cs="Times New Roman"/>
          <w:color w:val="000000" w:themeColor="text1"/>
          <w:sz w:val="24"/>
          <w:szCs w:val="24"/>
        </w:rPr>
        <w:t xml:space="preserve">zero-emission and </w:t>
      </w:r>
      <w:r w:rsidR="008416FC" w:rsidRPr="006340BE">
        <w:rPr>
          <w:rFonts w:ascii="Times New Roman" w:hAnsi="Times New Roman" w:cs="Times New Roman"/>
          <w:color w:val="000000" w:themeColor="text1"/>
          <w:sz w:val="24"/>
          <w:szCs w:val="24"/>
        </w:rPr>
        <w:t xml:space="preserve">smart </w:t>
      </w:r>
      <w:r w:rsidR="00793033">
        <w:rPr>
          <w:rFonts w:ascii="Times New Roman" w:hAnsi="Times New Roman" w:cs="Times New Roman"/>
          <w:color w:val="000000" w:themeColor="text1"/>
          <w:sz w:val="24"/>
          <w:szCs w:val="24"/>
        </w:rPr>
        <w:t>mobility</w:t>
      </w:r>
      <w:r w:rsidR="00904AF9" w:rsidRPr="006340BE">
        <w:rPr>
          <w:rFonts w:ascii="Times New Roman" w:hAnsi="Times New Roman" w:cs="Times New Roman"/>
          <w:color w:val="000000" w:themeColor="text1"/>
          <w:sz w:val="24"/>
          <w:szCs w:val="24"/>
        </w:rPr>
        <w:t>,</w:t>
      </w:r>
      <w:r w:rsidR="008416FC" w:rsidRPr="006340BE">
        <w:rPr>
          <w:rFonts w:ascii="Times New Roman" w:hAnsi="Times New Roman" w:cs="Times New Roman"/>
          <w:color w:val="000000" w:themeColor="text1"/>
          <w:sz w:val="24"/>
          <w:szCs w:val="24"/>
        </w:rPr>
        <w:t xml:space="preserve"> etc.)</w:t>
      </w:r>
      <w:r w:rsidR="00247F7B" w:rsidRPr="006340BE">
        <w:rPr>
          <w:rFonts w:ascii="Times New Roman" w:hAnsi="Times New Roman" w:cs="Times New Roman"/>
          <w:color w:val="000000" w:themeColor="text1"/>
          <w:sz w:val="24"/>
          <w:szCs w:val="24"/>
        </w:rPr>
        <w:t xml:space="preserve"> in line with the model of open strategic autonomy</w:t>
      </w:r>
      <w:r w:rsidR="008416FC" w:rsidRPr="006340BE">
        <w:rPr>
          <w:rFonts w:ascii="Times New Roman" w:hAnsi="Times New Roman" w:cs="Times New Roman"/>
          <w:color w:val="000000" w:themeColor="text1"/>
          <w:sz w:val="24"/>
          <w:szCs w:val="24"/>
        </w:rPr>
        <w:t>.</w:t>
      </w:r>
      <w:r w:rsidR="0081737C" w:rsidRPr="006340BE">
        <w:rPr>
          <w:rFonts w:ascii="Times New Roman" w:hAnsi="Times New Roman" w:cs="Times New Roman"/>
          <w:color w:val="000000" w:themeColor="text1"/>
          <w:sz w:val="24"/>
          <w:szCs w:val="24"/>
        </w:rPr>
        <w:t xml:space="preserve"> </w:t>
      </w:r>
    </w:p>
    <w:p w14:paraId="6B050B0A" w14:textId="5B1AB17C" w:rsidR="00230E81" w:rsidRPr="006340BE" w:rsidRDefault="00306594" w:rsidP="00F74968">
      <w:pPr>
        <w:tabs>
          <w:tab w:val="left" w:pos="1276"/>
        </w:tabs>
        <w:spacing w:before="120" w:after="0" w:line="240" w:lineRule="auto"/>
        <w:jc w:val="both"/>
        <w:rPr>
          <w:rFonts w:ascii="Times New Roman" w:hAnsi="Times New Roman"/>
          <w:color w:val="000000" w:themeColor="text1"/>
          <w:sz w:val="24"/>
        </w:rPr>
      </w:pPr>
      <w:r w:rsidRPr="006340BE">
        <w:rPr>
          <w:rFonts w:ascii="Times New Roman" w:hAnsi="Times New Roman"/>
          <w:color w:val="000000" w:themeColor="text1"/>
          <w:sz w:val="24"/>
        </w:rPr>
        <w:lastRenderedPageBreak/>
        <w:t>T</w:t>
      </w:r>
      <w:r w:rsidR="008416FC" w:rsidRPr="006340BE">
        <w:rPr>
          <w:rFonts w:ascii="Times New Roman" w:hAnsi="Times New Roman"/>
          <w:color w:val="000000" w:themeColor="text1"/>
          <w:sz w:val="24"/>
        </w:rPr>
        <w:t xml:space="preserve">he EU’s long-term budget for 2021-2027, </w:t>
      </w:r>
      <w:r w:rsidR="000C3DBA" w:rsidRPr="006340BE">
        <w:rPr>
          <w:rFonts w:ascii="Times New Roman" w:hAnsi="Times New Roman"/>
          <w:color w:val="000000" w:themeColor="text1"/>
          <w:sz w:val="24"/>
        </w:rPr>
        <w:t xml:space="preserve">the large-scale recovery plan “Next Generation EU” will </w:t>
      </w:r>
      <w:r w:rsidR="008416FC" w:rsidRPr="006340BE">
        <w:rPr>
          <w:rFonts w:ascii="Times New Roman" w:hAnsi="Times New Roman" w:cs="Times New Roman"/>
          <w:color w:val="000000" w:themeColor="text1"/>
          <w:sz w:val="24"/>
          <w:szCs w:val="24"/>
        </w:rPr>
        <w:t>lay the foundations of a modern and more sustainable Europe</w:t>
      </w:r>
      <w:r w:rsidR="009321FD" w:rsidRPr="006340BE">
        <w:rPr>
          <w:rFonts w:ascii="Times New Roman" w:hAnsi="Times New Roman" w:cs="Times New Roman"/>
          <w:color w:val="000000" w:themeColor="text1"/>
          <w:sz w:val="24"/>
          <w:szCs w:val="24"/>
        </w:rPr>
        <w:t>, while promoting an inclusive recovery and social fairness</w:t>
      </w:r>
      <w:r w:rsidR="00CC5531" w:rsidRPr="006340BE">
        <w:rPr>
          <w:rFonts w:ascii="Times New Roman" w:hAnsi="Times New Roman" w:cs="Times New Roman"/>
          <w:color w:val="000000" w:themeColor="text1"/>
          <w:sz w:val="24"/>
          <w:szCs w:val="24"/>
        </w:rPr>
        <w:t xml:space="preserve">. </w:t>
      </w:r>
      <w:r w:rsidRPr="006340BE">
        <w:rPr>
          <w:rFonts w:ascii="Times New Roman" w:hAnsi="Times New Roman" w:cs="Times New Roman"/>
          <w:color w:val="000000" w:themeColor="text1"/>
          <w:sz w:val="24"/>
          <w:szCs w:val="24"/>
        </w:rPr>
        <w:t>T</w:t>
      </w:r>
      <w:r w:rsidR="00CC5531" w:rsidRPr="006340BE">
        <w:rPr>
          <w:rFonts w:ascii="Times New Roman" w:hAnsi="Times New Roman" w:cs="Times New Roman"/>
          <w:color w:val="000000" w:themeColor="text1"/>
          <w:sz w:val="24"/>
          <w:szCs w:val="24"/>
        </w:rPr>
        <w:t xml:space="preserve">he Recovery and Resilience Facility, </w:t>
      </w:r>
      <w:r w:rsidR="002A07E8">
        <w:rPr>
          <w:rFonts w:ascii="Times New Roman" w:hAnsi="Times New Roman" w:cs="Times New Roman"/>
          <w:color w:val="000000" w:themeColor="text1"/>
          <w:sz w:val="24"/>
          <w:szCs w:val="24"/>
        </w:rPr>
        <w:t xml:space="preserve">Cohesion policy, </w:t>
      </w:r>
      <w:r w:rsidR="009A7622" w:rsidRPr="006340BE">
        <w:rPr>
          <w:rFonts w:ascii="Times New Roman" w:hAnsi="Times New Roman" w:cs="Times New Roman"/>
          <w:color w:val="000000" w:themeColor="text1"/>
          <w:sz w:val="24"/>
          <w:szCs w:val="24"/>
        </w:rPr>
        <w:t xml:space="preserve">as well as the Technical Support Instrument, </w:t>
      </w:r>
      <w:r w:rsidR="00CC5531" w:rsidRPr="006340BE">
        <w:rPr>
          <w:rFonts w:ascii="Times New Roman" w:hAnsi="Times New Roman" w:cs="Times New Roman"/>
          <w:color w:val="000000" w:themeColor="text1"/>
          <w:sz w:val="24"/>
          <w:szCs w:val="24"/>
        </w:rPr>
        <w:t>will</w:t>
      </w:r>
      <w:r w:rsidR="000C3DBA" w:rsidRPr="006340BE">
        <w:rPr>
          <w:rFonts w:ascii="Times New Roman" w:hAnsi="Times New Roman" w:cs="Times New Roman"/>
          <w:color w:val="000000" w:themeColor="text1"/>
          <w:sz w:val="24"/>
          <w:szCs w:val="24"/>
        </w:rPr>
        <w:t xml:space="preserve"> contribute to more coordinat</w:t>
      </w:r>
      <w:r w:rsidRPr="006340BE">
        <w:rPr>
          <w:rFonts w:ascii="Times New Roman" w:hAnsi="Times New Roman" w:cs="Times New Roman"/>
          <w:color w:val="000000" w:themeColor="text1"/>
          <w:sz w:val="24"/>
          <w:szCs w:val="24"/>
        </w:rPr>
        <w:t xml:space="preserve">ion </w:t>
      </w:r>
      <w:r w:rsidR="00CC5531" w:rsidRPr="006340BE">
        <w:rPr>
          <w:rFonts w:ascii="Times New Roman" w:hAnsi="Times New Roman" w:cs="Times New Roman"/>
          <w:color w:val="000000" w:themeColor="text1"/>
          <w:sz w:val="24"/>
          <w:szCs w:val="24"/>
        </w:rPr>
        <w:t>encouraging</w:t>
      </w:r>
      <w:r w:rsidR="000C3DBA" w:rsidRPr="006340BE">
        <w:rPr>
          <w:rFonts w:ascii="Times New Roman" w:hAnsi="Times New Roman" w:cs="Times New Roman"/>
          <w:color w:val="000000" w:themeColor="text1"/>
          <w:sz w:val="24"/>
          <w:szCs w:val="24"/>
        </w:rPr>
        <w:t xml:space="preserve"> Member States to invest in </w:t>
      </w:r>
      <w:r w:rsidR="00CC5531" w:rsidRPr="006340BE">
        <w:rPr>
          <w:rFonts w:ascii="Times New Roman" w:hAnsi="Times New Roman" w:cs="Times New Roman"/>
          <w:color w:val="000000" w:themeColor="text1"/>
          <w:sz w:val="24"/>
          <w:szCs w:val="24"/>
        </w:rPr>
        <w:t xml:space="preserve">new technologies and </w:t>
      </w:r>
      <w:r w:rsidR="00BF5F5F" w:rsidRPr="006340BE">
        <w:rPr>
          <w:rFonts w:ascii="Times New Roman" w:hAnsi="Times New Roman" w:cs="Times New Roman"/>
          <w:color w:val="000000" w:themeColor="text1"/>
          <w:sz w:val="24"/>
          <w:szCs w:val="24"/>
        </w:rPr>
        <w:t xml:space="preserve">in </w:t>
      </w:r>
      <w:r w:rsidR="00CC5531" w:rsidRPr="006340BE">
        <w:rPr>
          <w:rFonts w:ascii="Times New Roman" w:hAnsi="Times New Roman" w:cs="Times New Roman"/>
          <w:color w:val="000000" w:themeColor="text1"/>
          <w:sz w:val="24"/>
          <w:szCs w:val="24"/>
        </w:rPr>
        <w:t>a number of flagship areas</w:t>
      </w:r>
      <w:r w:rsidR="00CC4656" w:rsidRPr="006340BE">
        <w:rPr>
          <w:rStyle w:val="FootnoteReference"/>
          <w:rFonts w:ascii="Times New Roman" w:hAnsi="Times New Roman"/>
          <w:color w:val="000000" w:themeColor="text1"/>
          <w:sz w:val="24"/>
        </w:rPr>
        <w:footnoteReference w:id="20"/>
      </w:r>
      <w:r w:rsidR="008416FC" w:rsidRPr="006340BE">
        <w:rPr>
          <w:rFonts w:ascii="Times New Roman" w:hAnsi="Times New Roman" w:cs="Times New Roman"/>
          <w:color w:val="000000" w:themeColor="text1"/>
          <w:sz w:val="24"/>
          <w:szCs w:val="24"/>
        </w:rPr>
        <w:t xml:space="preserve">. </w:t>
      </w:r>
    </w:p>
    <w:p w14:paraId="23E5A1F0" w14:textId="468A84A0" w:rsidR="00DD31BC" w:rsidRPr="006340BE" w:rsidRDefault="00DD31BC">
      <w:pPr>
        <w:spacing w:before="120" w:after="0" w:line="240" w:lineRule="auto"/>
        <w:jc w:val="both"/>
        <w:rPr>
          <w:rFonts w:ascii="Times New Roman" w:hAnsi="Times New Roman"/>
          <w:color w:val="000000" w:themeColor="text1"/>
          <w:sz w:val="24"/>
        </w:rPr>
      </w:pPr>
      <w:r w:rsidRPr="006340BE">
        <w:rPr>
          <w:rFonts w:ascii="Times New Roman" w:hAnsi="Times New Roman" w:cs="Times New Roman"/>
          <w:color w:val="000000" w:themeColor="text1"/>
          <w:sz w:val="24"/>
          <w:szCs w:val="24"/>
        </w:rPr>
        <w:t xml:space="preserve">This Communication reaffirms the commitment to the </w:t>
      </w:r>
      <w:r w:rsidR="00777514" w:rsidRPr="006340BE">
        <w:rPr>
          <w:rFonts w:ascii="Times New Roman" w:hAnsi="Times New Roman" w:cs="Times New Roman"/>
          <w:color w:val="000000" w:themeColor="text1"/>
          <w:sz w:val="24"/>
          <w:szCs w:val="24"/>
        </w:rPr>
        <w:t>ERA</w:t>
      </w:r>
      <w:r w:rsidRPr="006340BE">
        <w:rPr>
          <w:rFonts w:ascii="Times New Roman" w:hAnsi="Times New Roman" w:cs="Times New Roman"/>
          <w:color w:val="000000" w:themeColor="text1"/>
          <w:sz w:val="24"/>
          <w:szCs w:val="24"/>
        </w:rPr>
        <w:t xml:space="preserve"> </w:t>
      </w:r>
      <w:r w:rsidR="00777514" w:rsidRPr="006340BE">
        <w:rPr>
          <w:rFonts w:ascii="Times New Roman" w:hAnsi="Times New Roman" w:cs="Times New Roman"/>
          <w:color w:val="000000" w:themeColor="text1"/>
          <w:sz w:val="24"/>
          <w:szCs w:val="24"/>
        </w:rPr>
        <w:t>and proposes a</w:t>
      </w:r>
      <w:r w:rsidR="00E137F2" w:rsidRPr="006340BE">
        <w:rPr>
          <w:rFonts w:ascii="Times New Roman" w:hAnsi="Times New Roman" w:cs="Times New Roman"/>
          <w:color w:val="000000" w:themeColor="text1"/>
          <w:sz w:val="24"/>
          <w:szCs w:val="24"/>
        </w:rPr>
        <w:t xml:space="preserve"> new approach in order to accelerate Europe’s green and digital transformation, strengthen Europe’s resilience and preparedness to face future crises, and to support Europe’s competitive edge in the global race for knowledge.</w:t>
      </w:r>
      <w:r w:rsidRPr="006340BE">
        <w:rPr>
          <w:rFonts w:ascii="Times New Roman" w:hAnsi="Times New Roman" w:cs="Times New Roman"/>
          <w:color w:val="000000" w:themeColor="text1"/>
          <w:sz w:val="24"/>
          <w:szCs w:val="24"/>
        </w:rPr>
        <w:t xml:space="preserve"> </w:t>
      </w:r>
    </w:p>
    <w:p w14:paraId="5114DFB4" w14:textId="181D0179" w:rsidR="008416FC" w:rsidRPr="006340BE" w:rsidRDefault="005F660D" w:rsidP="000E2C91">
      <w:pPr>
        <w:pStyle w:val="Style1"/>
        <w:spacing w:before="240"/>
        <w:ind w:left="357" w:hanging="357"/>
        <w:rPr>
          <w:color w:val="000000" w:themeColor="text1"/>
        </w:rPr>
      </w:pPr>
      <w:bookmarkStart w:id="3" w:name="_Toc49770382"/>
      <w:bookmarkStart w:id="4" w:name="_Toc51534322"/>
      <w:r w:rsidRPr="006340BE">
        <w:rPr>
          <w:color w:val="000000" w:themeColor="text1"/>
        </w:rPr>
        <w:t>The Vision: a</w:t>
      </w:r>
      <w:r w:rsidR="007E4D13" w:rsidRPr="006340BE">
        <w:rPr>
          <w:color w:val="000000" w:themeColor="text1"/>
        </w:rPr>
        <w:t xml:space="preserve"> stronger European Research </w:t>
      </w:r>
      <w:r w:rsidR="007B120F" w:rsidRPr="006340BE">
        <w:rPr>
          <w:color w:val="000000" w:themeColor="text1"/>
        </w:rPr>
        <w:t>A</w:t>
      </w:r>
      <w:r w:rsidR="007E4D13" w:rsidRPr="006340BE">
        <w:rPr>
          <w:color w:val="000000" w:themeColor="text1"/>
        </w:rPr>
        <w:t>rea for the Future</w:t>
      </w:r>
      <w:bookmarkStart w:id="5" w:name="_Toc51507940"/>
      <w:bookmarkEnd w:id="3"/>
      <w:bookmarkEnd w:id="4"/>
      <w:bookmarkEnd w:id="5"/>
    </w:p>
    <w:p w14:paraId="4EC4DCA5" w14:textId="2D4240E6" w:rsidR="000402B1" w:rsidRPr="006340BE" w:rsidRDefault="008416FC"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Member States are keen to</w:t>
      </w:r>
      <w:r w:rsidR="000402B1" w:rsidRPr="006340BE">
        <w:rPr>
          <w:rFonts w:ascii="Times New Roman" w:hAnsi="Times New Roman" w:cs="Times New Roman"/>
          <w:color w:val="000000" w:themeColor="text1"/>
          <w:sz w:val="24"/>
          <w:szCs w:val="24"/>
        </w:rPr>
        <w:t xml:space="preserve"> engage in EU level initiatives when provided with easy to use and accessible tools and incentives to act jointly or in a coordinated manner. This includes, in particular, the benchmarking of progress, guidelines and exchange of good practices, joint programming of national programmes and EU funding.</w:t>
      </w:r>
      <w:r w:rsidRPr="006340BE">
        <w:rPr>
          <w:rFonts w:ascii="Times New Roman" w:hAnsi="Times New Roman" w:cs="Times New Roman"/>
          <w:color w:val="000000" w:themeColor="text1"/>
          <w:sz w:val="24"/>
          <w:szCs w:val="24"/>
        </w:rPr>
        <w:t xml:space="preserve"> </w:t>
      </w:r>
    </w:p>
    <w:p w14:paraId="525E5857" w14:textId="67F27707" w:rsidR="008416FC" w:rsidRPr="006340BE" w:rsidRDefault="008416FC"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Member States </w:t>
      </w:r>
      <w:r w:rsidR="000402B1" w:rsidRPr="006340BE">
        <w:rPr>
          <w:rFonts w:ascii="Times New Roman" w:hAnsi="Times New Roman" w:cs="Times New Roman"/>
          <w:color w:val="000000" w:themeColor="text1"/>
          <w:sz w:val="24"/>
          <w:szCs w:val="24"/>
        </w:rPr>
        <w:t xml:space="preserve">have </w:t>
      </w:r>
      <w:r w:rsidRPr="006340BE">
        <w:rPr>
          <w:rFonts w:ascii="Times New Roman" w:hAnsi="Times New Roman" w:cs="Times New Roman"/>
          <w:color w:val="000000" w:themeColor="text1"/>
          <w:sz w:val="24"/>
          <w:szCs w:val="24"/>
        </w:rPr>
        <w:t>strongly reiterated the need for a renewed ERA agenda</w:t>
      </w:r>
      <w:r w:rsidR="00080A6B" w:rsidRPr="006340BE">
        <w:rPr>
          <w:rStyle w:val="FootnoteReference"/>
          <w:rFonts w:ascii="Times New Roman" w:hAnsi="Times New Roman" w:cs="Times New Roman"/>
          <w:color w:val="000000" w:themeColor="text1"/>
          <w:sz w:val="24"/>
          <w:szCs w:val="24"/>
        </w:rPr>
        <w:footnoteReference w:id="21"/>
      </w:r>
      <w:r w:rsidRPr="006340BE">
        <w:rPr>
          <w:rFonts w:ascii="Times New Roman" w:hAnsi="Times New Roman" w:cs="Times New Roman"/>
          <w:color w:val="000000" w:themeColor="text1"/>
          <w:sz w:val="24"/>
          <w:szCs w:val="24"/>
        </w:rPr>
        <w:t>.</w:t>
      </w:r>
      <w:r w:rsidR="00F5654E" w:rsidRPr="006340BE">
        <w:rPr>
          <w:rFonts w:ascii="Times New Roman" w:hAnsi="Times New Roman" w:cs="Times New Roman"/>
          <w:color w:val="000000" w:themeColor="text1"/>
          <w:sz w:val="24"/>
          <w:szCs w:val="24"/>
        </w:rPr>
        <w:t xml:space="preserve"> </w:t>
      </w:r>
      <w:r w:rsidR="000402B1" w:rsidRPr="006340BE">
        <w:rPr>
          <w:rFonts w:ascii="Times New Roman" w:hAnsi="Times New Roman" w:cs="Times New Roman"/>
          <w:color w:val="000000" w:themeColor="text1"/>
          <w:sz w:val="24"/>
          <w:szCs w:val="24"/>
        </w:rPr>
        <w:t xml:space="preserve">To this end, the Commission organised a series of discussions with national authorities and stakeholders through a dedicated ERA “capitals tour” inviting feedback and input on the future of the ERA. </w:t>
      </w:r>
    </w:p>
    <w:p w14:paraId="1A73E292" w14:textId="3FA1D9A1" w:rsidR="00212C9F" w:rsidRPr="006340BE" w:rsidRDefault="00212C9F">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In order to increase the excellence and efficiency of the European R&amp;I system, all the traditional ‘single market’ elements of </w:t>
      </w:r>
      <w:r w:rsidR="00B77E8D" w:rsidRPr="006340BE">
        <w:rPr>
          <w:rFonts w:ascii="Times New Roman" w:hAnsi="Times New Roman" w:cs="Times New Roman"/>
          <w:color w:val="000000" w:themeColor="text1"/>
          <w:sz w:val="24"/>
          <w:szCs w:val="24"/>
        </w:rPr>
        <w:t xml:space="preserve">the </w:t>
      </w:r>
      <w:r w:rsidRPr="006340BE">
        <w:rPr>
          <w:rFonts w:ascii="Times New Roman" w:hAnsi="Times New Roman" w:cs="Times New Roman"/>
          <w:color w:val="000000" w:themeColor="text1"/>
          <w:sz w:val="24"/>
          <w:szCs w:val="24"/>
        </w:rPr>
        <w:t xml:space="preserve">ERA (building of critical mass, mobility, open science, etc.) continue to be highly relevant, but implementation needs to progress in a more ambitious manner. </w:t>
      </w:r>
      <w:r w:rsidRPr="00D67EDB">
        <w:rPr>
          <w:rFonts w:ascii="Times New Roman" w:hAnsi="Times New Roman" w:cs="Times New Roman"/>
          <w:color w:val="000000" w:themeColor="text1"/>
          <w:sz w:val="24"/>
          <w:szCs w:val="24"/>
          <w:highlight w:val="yellow"/>
        </w:rPr>
        <w:t xml:space="preserve">The first element of a new concept for </w:t>
      </w:r>
      <w:r w:rsidR="00B77E8D" w:rsidRPr="00D67EDB">
        <w:rPr>
          <w:rFonts w:ascii="Times New Roman" w:hAnsi="Times New Roman" w:cs="Times New Roman"/>
          <w:color w:val="000000" w:themeColor="text1"/>
          <w:sz w:val="24"/>
          <w:szCs w:val="24"/>
          <w:highlight w:val="yellow"/>
        </w:rPr>
        <w:t xml:space="preserve">the </w:t>
      </w:r>
      <w:r w:rsidRPr="00D67EDB">
        <w:rPr>
          <w:rFonts w:ascii="Times New Roman" w:hAnsi="Times New Roman" w:cs="Times New Roman"/>
          <w:color w:val="000000" w:themeColor="text1"/>
          <w:sz w:val="24"/>
          <w:szCs w:val="24"/>
          <w:highlight w:val="yellow"/>
        </w:rPr>
        <w:t>ERA will therefore consist of deepening existing priorities and initiatives, where possible through new and stronger approaches.</w:t>
      </w:r>
      <w:r w:rsidRPr="006340BE">
        <w:rPr>
          <w:rFonts w:ascii="Times New Roman" w:hAnsi="Times New Roman" w:cs="Times New Roman"/>
          <w:color w:val="000000" w:themeColor="text1"/>
          <w:sz w:val="24"/>
          <w:szCs w:val="24"/>
        </w:rPr>
        <w:t xml:space="preserve"> </w:t>
      </w:r>
    </w:p>
    <w:p w14:paraId="6AC7ABBD" w14:textId="1F6382E5" w:rsidR="00212C9F" w:rsidRPr="006340BE" w:rsidRDefault="00212C9F">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At the same time, the challenges and opportunities ahead require a broader vision for </w:t>
      </w:r>
      <w:r w:rsidR="00B77E8D" w:rsidRPr="006340BE">
        <w:rPr>
          <w:rFonts w:ascii="Times New Roman" w:hAnsi="Times New Roman" w:cs="Times New Roman"/>
          <w:color w:val="000000" w:themeColor="text1"/>
          <w:sz w:val="24"/>
          <w:szCs w:val="24"/>
        </w:rPr>
        <w:t xml:space="preserve">the </w:t>
      </w:r>
      <w:r w:rsidRPr="006340BE">
        <w:rPr>
          <w:rFonts w:ascii="Times New Roman" w:hAnsi="Times New Roman" w:cs="Times New Roman"/>
          <w:color w:val="000000" w:themeColor="text1"/>
          <w:sz w:val="24"/>
          <w:szCs w:val="24"/>
        </w:rPr>
        <w:t>ERA</w:t>
      </w:r>
      <w:r w:rsidR="000531C2" w:rsidRPr="006340BE">
        <w:rPr>
          <w:rFonts w:ascii="Times New Roman" w:hAnsi="Times New Roman" w:cs="Times New Roman"/>
          <w:color w:val="000000" w:themeColor="text1"/>
          <w:sz w:val="24"/>
          <w:szCs w:val="24"/>
        </w:rPr>
        <w:t>. T</w:t>
      </w:r>
      <w:r w:rsidRPr="006340BE">
        <w:rPr>
          <w:rFonts w:ascii="Times New Roman" w:hAnsi="Times New Roman" w:cs="Times New Roman"/>
          <w:color w:val="000000" w:themeColor="text1"/>
          <w:sz w:val="24"/>
          <w:szCs w:val="24"/>
        </w:rPr>
        <w:t xml:space="preserve">he </w:t>
      </w:r>
      <w:r w:rsidR="000531C2" w:rsidRPr="006340BE">
        <w:rPr>
          <w:rFonts w:ascii="Times New Roman" w:hAnsi="Times New Roman" w:cs="Times New Roman"/>
          <w:color w:val="000000" w:themeColor="text1"/>
          <w:sz w:val="24"/>
          <w:szCs w:val="24"/>
        </w:rPr>
        <w:t>green</w:t>
      </w:r>
      <w:r w:rsidRPr="006340BE">
        <w:rPr>
          <w:rFonts w:ascii="Times New Roman" w:hAnsi="Times New Roman" w:cs="Times New Roman"/>
          <w:color w:val="000000" w:themeColor="text1"/>
          <w:sz w:val="24"/>
          <w:szCs w:val="24"/>
        </w:rPr>
        <w:t xml:space="preserve"> and </w:t>
      </w:r>
      <w:r w:rsidR="000531C2" w:rsidRPr="006340BE">
        <w:rPr>
          <w:rFonts w:ascii="Times New Roman" w:hAnsi="Times New Roman" w:cs="Times New Roman"/>
          <w:color w:val="000000" w:themeColor="text1"/>
          <w:sz w:val="24"/>
          <w:szCs w:val="24"/>
        </w:rPr>
        <w:t xml:space="preserve">digital </w:t>
      </w:r>
      <w:r w:rsidRPr="006340BE">
        <w:rPr>
          <w:rFonts w:ascii="Times New Roman" w:hAnsi="Times New Roman" w:cs="Times New Roman"/>
          <w:color w:val="000000" w:themeColor="text1"/>
          <w:sz w:val="24"/>
          <w:szCs w:val="24"/>
        </w:rPr>
        <w:t xml:space="preserve">transitions and the recovery </w:t>
      </w:r>
      <w:r w:rsidR="000531C2" w:rsidRPr="006340BE">
        <w:rPr>
          <w:rFonts w:ascii="Times New Roman" w:hAnsi="Times New Roman" w:cs="Times New Roman"/>
          <w:color w:val="000000" w:themeColor="text1"/>
          <w:sz w:val="24"/>
          <w:szCs w:val="24"/>
        </w:rPr>
        <w:t>call for</w:t>
      </w:r>
      <w:r w:rsidRPr="006340BE">
        <w:rPr>
          <w:rFonts w:ascii="Times New Roman" w:hAnsi="Times New Roman" w:cs="Times New Roman"/>
          <w:color w:val="000000" w:themeColor="text1"/>
          <w:sz w:val="24"/>
          <w:szCs w:val="24"/>
        </w:rPr>
        <w:t xml:space="preserve"> cooperation between the Commission and the Member </w:t>
      </w:r>
      <w:r w:rsidR="000531C2" w:rsidRPr="006340BE">
        <w:rPr>
          <w:rFonts w:ascii="Times New Roman" w:hAnsi="Times New Roman" w:cs="Times New Roman"/>
          <w:color w:val="000000" w:themeColor="text1"/>
          <w:sz w:val="24"/>
          <w:szCs w:val="24"/>
        </w:rPr>
        <w:t>States, which</w:t>
      </w:r>
      <w:r w:rsidRPr="006340BE">
        <w:rPr>
          <w:rFonts w:ascii="Times New Roman" w:hAnsi="Times New Roman" w:cs="Times New Roman"/>
          <w:color w:val="000000" w:themeColor="text1"/>
          <w:sz w:val="24"/>
          <w:szCs w:val="24"/>
        </w:rPr>
        <w:t xml:space="preserve"> goes beyond the traditional single market philosophy</w:t>
      </w:r>
      <w:r w:rsidR="000531C2" w:rsidRPr="006340BE">
        <w:rPr>
          <w:rFonts w:ascii="Times New Roman" w:hAnsi="Times New Roman" w:cs="Times New Roman"/>
          <w:color w:val="000000" w:themeColor="text1"/>
          <w:sz w:val="24"/>
          <w:szCs w:val="24"/>
        </w:rPr>
        <w:t xml:space="preserve">. They require the </w:t>
      </w:r>
      <w:r w:rsidR="000531C2" w:rsidRPr="00D67EDB">
        <w:rPr>
          <w:rFonts w:ascii="Times New Roman" w:hAnsi="Times New Roman" w:cs="Times New Roman"/>
          <w:color w:val="000000" w:themeColor="text1"/>
          <w:sz w:val="24"/>
          <w:szCs w:val="24"/>
          <w:highlight w:val="yellow"/>
        </w:rPr>
        <w:t>setting of</w:t>
      </w:r>
      <w:r w:rsidRPr="00D67EDB">
        <w:rPr>
          <w:rFonts w:ascii="Times New Roman" w:hAnsi="Times New Roman" w:cs="Times New Roman"/>
          <w:color w:val="000000" w:themeColor="text1"/>
          <w:sz w:val="24"/>
          <w:szCs w:val="24"/>
          <w:highlight w:val="yellow"/>
        </w:rPr>
        <w:t xml:space="preserve"> new priorities</w:t>
      </w:r>
      <w:r w:rsidR="000531C2" w:rsidRPr="00D67EDB">
        <w:rPr>
          <w:rFonts w:ascii="Times New Roman" w:hAnsi="Times New Roman" w:cs="Times New Roman"/>
          <w:color w:val="000000" w:themeColor="text1"/>
          <w:sz w:val="24"/>
          <w:szCs w:val="24"/>
          <w:highlight w:val="yellow"/>
        </w:rPr>
        <w:t xml:space="preserve"> to</w:t>
      </w:r>
      <w:r w:rsidRPr="00D67EDB">
        <w:rPr>
          <w:rFonts w:ascii="Times New Roman" w:hAnsi="Times New Roman" w:cs="Times New Roman"/>
          <w:color w:val="000000" w:themeColor="text1"/>
          <w:sz w:val="24"/>
          <w:szCs w:val="24"/>
          <w:highlight w:val="yellow"/>
        </w:rPr>
        <w:t xml:space="preserve"> better orienting funding, launching ambitious joint initiatives and developing </w:t>
      </w:r>
      <w:r w:rsidR="00BF5F5F" w:rsidRPr="00D67EDB">
        <w:rPr>
          <w:rFonts w:ascii="Times New Roman" w:hAnsi="Times New Roman" w:cs="Times New Roman"/>
          <w:color w:val="000000" w:themeColor="text1"/>
          <w:sz w:val="24"/>
          <w:szCs w:val="24"/>
          <w:highlight w:val="yellow"/>
        </w:rPr>
        <w:t xml:space="preserve">common </w:t>
      </w:r>
      <w:r w:rsidRPr="00D67EDB">
        <w:rPr>
          <w:rFonts w:ascii="Times New Roman" w:hAnsi="Times New Roman" w:cs="Times New Roman"/>
          <w:color w:val="000000" w:themeColor="text1"/>
          <w:sz w:val="24"/>
          <w:szCs w:val="24"/>
          <w:highlight w:val="yellow"/>
        </w:rPr>
        <w:t>approaches between policies.</w:t>
      </w:r>
      <w:r w:rsidRPr="006340BE">
        <w:rPr>
          <w:rFonts w:ascii="Times New Roman" w:hAnsi="Times New Roman" w:cs="Times New Roman"/>
          <w:color w:val="000000" w:themeColor="text1"/>
          <w:sz w:val="24"/>
          <w:szCs w:val="24"/>
        </w:rPr>
        <w:t xml:space="preserve"> </w:t>
      </w:r>
    </w:p>
    <w:p w14:paraId="7390B5EF" w14:textId="1DBEF1E0" w:rsidR="00785463" w:rsidRPr="006340BE" w:rsidRDefault="00064BBC" w:rsidP="00785463">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In order to ensure that a new ERA is fit for the challenges ahead, the Commission propose</w:t>
      </w:r>
      <w:r w:rsidR="000531C2" w:rsidRPr="006340BE">
        <w:rPr>
          <w:rFonts w:ascii="Times New Roman" w:hAnsi="Times New Roman" w:cs="Times New Roman"/>
          <w:color w:val="000000" w:themeColor="text1"/>
          <w:sz w:val="24"/>
          <w:szCs w:val="24"/>
        </w:rPr>
        <w:t>s</w:t>
      </w:r>
      <w:r w:rsidRPr="006340BE">
        <w:rPr>
          <w:rFonts w:ascii="Times New Roman" w:hAnsi="Times New Roman" w:cs="Times New Roman"/>
          <w:color w:val="000000" w:themeColor="text1"/>
          <w:sz w:val="24"/>
          <w:szCs w:val="24"/>
        </w:rPr>
        <w:t xml:space="preserve"> a</w:t>
      </w:r>
      <w:r w:rsidR="00212C9F" w:rsidRPr="006340BE">
        <w:rPr>
          <w:rFonts w:ascii="Times New Roman" w:hAnsi="Times New Roman" w:cs="Times New Roman"/>
          <w:color w:val="000000" w:themeColor="text1"/>
          <w:sz w:val="24"/>
          <w:szCs w:val="24"/>
        </w:rPr>
        <w:t xml:space="preserve"> new vision</w:t>
      </w:r>
      <w:r w:rsidRPr="006340BE">
        <w:rPr>
          <w:rFonts w:ascii="Times New Roman" w:hAnsi="Times New Roman" w:cs="Times New Roman"/>
          <w:color w:val="000000" w:themeColor="text1"/>
          <w:sz w:val="24"/>
          <w:szCs w:val="24"/>
        </w:rPr>
        <w:t xml:space="preserve"> </w:t>
      </w:r>
      <w:r w:rsidR="000531C2" w:rsidRPr="006340BE">
        <w:rPr>
          <w:rFonts w:ascii="Times New Roman" w:hAnsi="Times New Roman" w:cs="Times New Roman"/>
          <w:color w:val="000000" w:themeColor="text1"/>
          <w:sz w:val="24"/>
          <w:szCs w:val="24"/>
        </w:rPr>
        <w:t xml:space="preserve">based on the </w:t>
      </w:r>
      <w:r w:rsidR="00212C9F" w:rsidRPr="006340BE">
        <w:rPr>
          <w:rFonts w:ascii="Times New Roman" w:hAnsi="Times New Roman" w:cs="Times New Roman"/>
          <w:color w:val="000000" w:themeColor="text1"/>
          <w:sz w:val="24"/>
          <w:szCs w:val="24"/>
        </w:rPr>
        <w:t>following strategic objectives</w:t>
      </w:r>
      <w:r w:rsidRPr="006340BE">
        <w:rPr>
          <w:rFonts w:ascii="Times New Roman" w:hAnsi="Times New Roman" w:cs="Times New Roman"/>
          <w:color w:val="000000" w:themeColor="text1"/>
          <w:sz w:val="24"/>
          <w:szCs w:val="24"/>
        </w:rPr>
        <w:t xml:space="preserve">, </w:t>
      </w:r>
      <w:r w:rsidR="00AD5E55" w:rsidRPr="006340BE">
        <w:rPr>
          <w:rFonts w:ascii="Times New Roman" w:hAnsi="Times New Roman" w:cs="Times New Roman"/>
          <w:color w:val="000000" w:themeColor="text1"/>
          <w:sz w:val="24"/>
          <w:szCs w:val="24"/>
        </w:rPr>
        <w:t xml:space="preserve">which </w:t>
      </w:r>
      <w:r w:rsidR="000531C2" w:rsidRPr="006340BE">
        <w:rPr>
          <w:rFonts w:ascii="Times New Roman" w:hAnsi="Times New Roman" w:cs="Times New Roman"/>
          <w:color w:val="000000" w:themeColor="text1"/>
          <w:sz w:val="24"/>
          <w:szCs w:val="24"/>
        </w:rPr>
        <w:t xml:space="preserve">can </w:t>
      </w:r>
      <w:r w:rsidR="00AD5E55" w:rsidRPr="006340BE">
        <w:rPr>
          <w:rFonts w:ascii="Times New Roman" w:hAnsi="Times New Roman" w:cs="Times New Roman"/>
          <w:color w:val="000000" w:themeColor="text1"/>
          <w:sz w:val="24"/>
          <w:szCs w:val="24"/>
        </w:rPr>
        <w:t xml:space="preserve">only be achieved </w:t>
      </w:r>
      <w:r w:rsidR="000531C2" w:rsidRPr="006340BE">
        <w:rPr>
          <w:rFonts w:ascii="Times New Roman" w:hAnsi="Times New Roman" w:cs="Times New Roman"/>
          <w:color w:val="000000" w:themeColor="text1"/>
          <w:sz w:val="24"/>
          <w:szCs w:val="24"/>
        </w:rPr>
        <w:t xml:space="preserve">in </w:t>
      </w:r>
      <w:r w:rsidR="00AD5E55" w:rsidRPr="006340BE">
        <w:rPr>
          <w:rFonts w:ascii="Times New Roman" w:hAnsi="Times New Roman" w:cs="Times New Roman"/>
          <w:color w:val="000000" w:themeColor="text1"/>
          <w:sz w:val="24"/>
          <w:szCs w:val="24"/>
        </w:rPr>
        <w:t>partnership with Member States</w:t>
      </w:r>
      <w:r w:rsidR="00212C9F" w:rsidRPr="006340BE">
        <w:rPr>
          <w:rFonts w:ascii="Times New Roman" w:hAnsi="Times New Roman" w:cs="Times New Roman"/>
          <w:color w:val="000000" w:themeColor="text1"/>
          <w:sz w:val="24"/>
          <w:szCs w:val="24"/>
        </w:rPr>
        <w:t>.</w:t>
      </w:r>
      <w:r w:rsidR="0081737C" w:rsidRPr="006340BE">
        <w:rPr>
          <w:rFonts w:ascii="Times New Roman" w:hAnsi="Times New Roman" w:cs="Times New Roman"/>
          <w:color w:val="000000" w:themeColor="text1"/>
          <w:sz w:val="24"/>
          <w:szCs w:val="24"/>
        </w:rPr>
        <w:t xml:space="preserve"> </w:t>
      </w:r>
      <w:r w:rsidR="00785463" w:rsidRPr="006340BE">
        <w:rPr>
          <w:rFonts w:ascii="Times New Roman" w:hAnsi="Times New Roman" w:cs="Times New Roman"/>
          <w:color w:val="000000" w:themeColor="text1"/>
          <w:sz w:val="24"/>
          <w:szCs w:val="24"/>
        </w:rPr>
        <w:t>The fourth objective consist of deepening the ERA in existing priorities, whereas the other three objectives will broaden the ERA towards new priorities:</w:t>
      </w:r>
    </w:p>
    <w:p w14:paraId="26BD9EE2" w14:textId="658CD6EC" w:rsidR="008416FC" w:rsidRPr="006340BE" w:rsidRDefault="008416FC" w:rsidP="004C70A4">
      <w:pPr>
        <w:pStyle w:val="ListParagraph"/>
        <w:numPr>
          <w:ilvl w:val="0"/>
          <w:numId w:val="6"/>
        </w:numPr>
        <w:spacing w:before="120" w:after="0" w:line="240" w:lineRule="auto"/>
        <w:ind w:left="357" w:hanging="215"/>
        <w:contextualSpacing w:val="0"/>
        <w:jc w:val="both"/>
        <w:rPr>
          <w:rFonts w:ascii="Times New Roman" w:hAnsi="Times New Roman" w:cs="Times New Roman"/>
          <w:color w:val="000000" w:themeColor="text1"/>
          <w:sz w:val="24"/>
          <w:szCs w:val="24"/>
        </w:rPr>
      </w:pPr>
      <w:r w:rsidRPr="00D67EDB">
        <w:rPr>
          <w:rFonts w:ascii="Times New Roman" w:hAnsi="Times New Roman" w:cs="Times New Roman"/>
          <w:b/>
          <w:bCs/>
          <w:color w:val="000000" w:themeColor="text1"/>
          <w:sz w:val="24"/>
          <w:szCs w:val="24"/>
          <w:highlight w:val="yellow"/>
        </w:rPr>
        <w:t>Prioritising investments</w:t>
      </w:r>
      <w:r w:rsidR="00BF5F5F" w:rsidRPr="00D67EDB">
        <w:rPr>
          <w:rFonts w:ascii="Times New Roman" w:hAnsi="Times New Roman" w:cs="Times New Roman"/>
          <w:b/>
          <w:bCs/>
          <w:color w:val="000000" w:themeColor="text1"/>
          <w:sz w:val="24"/>
          <w:szCs w:val="24"/>
          <w:highlight w:val="yellow"/>
        </w:rPr>
        <w:t xml:space="preserve"> and reforms</w:t>
      </w:r>
      <w:r w:rsidRPr="006340BE">
        <w:rPr>
          <w:rFonts w:ascii="Times New Roman" w:hAnsi="Times New Roman" w:cs="Times New Roman"/>
          <w:color w:val="000000" w:themeColor="text1"/>
          <w:sz w:val="24"/>
          <w:szCs w:val="24"/>
        </w:rPr>
        <w:t xml:space="preserve">: to accelerate the </w:t>
      </w:r>
      <w:r w:rsidR="00DD419F" w:rsidRPr="006340BE">
        <w:rPr>
          <w:rFonts w:ascii="Times New Roman" w:hAnsi="Times New Roman" w:cs="Times New Roman"/>
          <w:color w:val="000000" w:themeColor="text1"/>
          <w:sz w:val="24"/>
          <w:szCs w:val="24"/>
        </w:rPr>
        <w:t xml:space="preserve">green and </w:t>
      </w:r>
      <w:r w:rsidRPr="006340BE">
        <w:rPr>
          <w:rFonts w:ascii="Times New Roman" w:hAnsi="Times New Roman" w:cs="Times New Roman"/>
          <w:color w:val="000000" w:themeColor="text1"/>
          <w:sz w:val="24"/>
          <w:szCs w:val="24"/>
        </w:rPr>
        <w:t xml:space="preserve">digital transformation </w:t>
      </w:r>
      <w:r w:rsidR="002E0596" w:rsidRPr="006340BE">
        <w:rPr>
          <w:rFonts w:ascii="Times New Roman" w:hAnsi="Times New Roman" w:cs="Times New Roman"/>
          <w:color w:val="000000" w:themeColor="text1"/>
          <w:sz w:val="24"/>
          <w:szCs w:val="24"/>
        </w:rPr>
        <w:t>and</w:t>
      </w:r>
      <w:r w:rsidRPr="006340BE">
        <w:rPr>
          <w:rFonts w:ascii="Times New Roman" w:hAnsi="Times New Roman" w:cs="Times New Roman"/>
          <w:color w:val="000000" w:themeColor="text1"/>
          <w:sz w:val="24"/>
          <w:szCs w:val="24"/>
        </w:rPr>
        <w:t xml:space="preserve"> to increase </w:t>
      </w:r>
      <w:r w:rsidRPr="006340BE">
        <w:rPr>
          <w:rFonts w:ascii="Times New Roman" w:hAnsi="Times New Roman"/>
          <w:color w:val="000000" w:themeColor="text1"/>
          <w:sz w:val="24"/>
        </w:rPr>
        <w:t xml:space="preserve">competitiveness </w:t>
      </w:r>
      <w:r w:rsidR="002E0596" w:rsidRPr="006340BE">
        <w:rPr>
          <w:rFonts w:ascii="Times New Roman" w:hAnsi="Times New Roman"/>
          <w:color w:val="000000" w:themeColor="text1"/>
          <w:sz w:val="24"/>
        </w:rPr>
        <w:t xml:space="preserve">as well as </w:t>
      </w:r>
      <w:r w:rsidRPr="006340BE">
        <w:rPr>
          <w:rFonts w:ascii="Times New Roman" w:hAnsi="Times New Roman"/>
          <w:color w:val="000000" w:themeColor="text1"/>
          <w:sz w:val="24"/>
        </w:rPr>
        <w:t xml:space="preserve">the speed and depth of the recovery. This </w:t>
      </w:r>
      <w:r w:rsidR="002E0596" w:rsidRPr="006340BE">
        <w:rPr>
          <w:rFonts w:ascii="Times New Roman" w:hAnsi="Times New Roman"/>
          <w:color w:val="000000" w:themeColor="text1"/>
          <w:sz w:val="24"/>
        </w:rPr>
        <w:t xml:space="preserve">requires better analysis and evidence and </w:t>
      </w:r>
      <w:r w:rsidRPr="006340BE">
        <w:rPr>
          <w:rFonts w:ascii="Times New Roman" w:hAnsi="Times New Roman"/>
          <w:color w:val="000000" w:themeColor="text1"/>
          <w:sz w:val="24"/>
        </w:rPr>
        <w:t xml:space="preserve">includes simplifying and facilitating the inter-play between national and European </w:t>
      </w:r>
      <w:proofErr w:type="gramStart"/>
      <w:r w:rsidRPr="006340BE">
        <w:rPr>
          <w:rFonts w:ascii="Times New Roman" w:hAnsi="Times New Roman"/>
          <w:color w:val="000000" w:themeColor="text1"/>
          <w:sz w:val="24"/>
        </w:rPr>
        <w:t>R&amp;I</w:t>
      </w:r>
      <w:proofErr w:type="gramEnd"/>
      <w:r w:rsidRPr="006340BE">
        <w:rPr>
          <w:rFonts w:ascii="Times New Roman" w:hAnsi="Times New Roman"/>
          <w:color w:val="000000" w:themeColor="text1"/>
          <w:sz w:val="24"/>
        </w:rPr>
        <w:t xml:space="preserve"> systems. The principle of excellence</w:t>
      </w:r>
      <w:r w:rsidR="00B418B0" w:rsidRPr="006340BE">
        <w:rPr>
          <w:rFonts w:ascii="Times New Roman" w:hAnsi="Times New Roman"/>
          <w:color w:val="000000" w:themeColor="text1"/>
          <w:sz w:val="24"/>
        </w:rPr>
        <w:t>, meaning that the best researchers with the best ideas obtain funding,</w:t>
      </w:r>
      <w:r w:rsidRPr="006340BE">
        <w:rPr>
          <w:rFonts w:ascii="Times New Roman" w:hAnsi="Times New Roman"/>
          <w:color w:val="000000" w:themeColor="text1"/>
          <w:sz w:val="24"/>
        </w:rPr>
        <w:t xml:space="preserve"> </w:t>
      </w:r>
      <w:r w:rsidR="002E0596" w:rsidRPr="006340BE">
        <w:rPr>
          <w:rFonts w:ascii="Times New Roman" w:hAnsi="Times New Roman"/>
          <w:color w:val="000000" w:themeColor="text1"/>
          <w:sz w:val="24"/>
        </w:rPr>
        <w:t xml:space="preserve">remain </w:t>
      </w:r>
      <w:r w:rsidRPr="006340BE">
        <w:rPr>
          <w:rFonts w:ascii="Times New Roman" w:hAnsi="Times New Roman"/>
          <w:color w:val="000000" w:themeColor="text1"/>
          <w:sz w:val="24"/>
        </w:rPr>
        <w:t xml:space="preserve">the cornerstone for all investments under the ERA. </w:t>
      </w:r>
    </w:p>
    <w:p w14:paraId="53851446" w14:textId="34CFBE54" w:rsidR="008416FC" w:rsidRPr="006340BE" w:rsidRDefault="008416FC">
      <w:pPr>
        <w:pStyle w:val="ListParagraph"/>
        <w:numPr>
          <w:ilvl w:val="0"/>
          <w:numId w:val="6"/>
        </w:numPr>
        <w:spacing w:before="120" w:after="0" w:line="240" w:lineRule="auto"/>
        <w:ind w:hanging="218"/>
        <w:contextualSpacing w:val="0"/>
        <w:jc w:val="both"/>
        <w:rPr>
          <w:rFonts w:ascii="Times New Roman" w:hAnsi="Times New Roman" w:cs="Times New Roman"/>
          <w:color w:val="000000" w:themeColor="text1"/>
          <w:sz w:val="24"/>
          <w:szCs w:val="24"/>
        </w:rPr>
      </w:pPr>
      <w:r w:rsidRPr="00D67EDB">
        <w:rPr>
          <w:rFonts w:ascii="Times New Roman" w:hAnsi="Times New Roman" w:cs="Times New Roman"/>
          <w:b/>
          <w:bCs/>
          <w:color w:val="000000" w:themeColor="text1"/>
          <w:sz w:val="24"/>
          <w:szCs w:val="24"/>
          <w:highlight w:val="yellow"/>
        </w:rPr>
        <w:t>Improving access to excellence</w:t>
      </w:r>
      <w:r w:rsidRPr="00D67EDB">
        <w:rPr>
          <w:rFonts w:ascii="Times New Roman" w:hAnsi="Times New Roman" w:cs="Times New Roman"/>
          <w:color w:val="000000" w:themeColor="text1"/>
          <w:sz w:val="24"/>
          <w:szCs w:val="24"/>
          <w:highlight w:val="yellow"/>
        </w:rPr>
        <w:t>:</w:t>
      </w:r>
      <w:r w:rsidRPr="006340BE">
        <w:rPr>
          <w:rFonts w:ascii="Times New Roman" w:hAnsi="Times New Roman" w:cs="Times New Roman"/>
          <w:color w:val="000000" w:themeColor="text1"/>
          <w:sz w:val="24"/>
          <w:szCs w:val="24"/>
        </w:rPr>
        <w:t xml:space="preserve"> towards more excellence and stronger R&amp;I systems</w:t>
      </w:r>
      <w:r w:rsidR="00B418B0" w:rsidRPr="006340BE">
        <w:rPr>
          <w:rFonts w:ascii="Times New Roman" w:hAnsi="Times New Roman" w:cs="Times New Roman"/>
          <w:color w:val="000000" w:themeColor="text1"/>
          <w:sz w:val="24"/>
          <w:szCs w:val="24"/>
        </w:rPr>
        <w:t xml:space="preserve"> across the whole of the EU</w:t>
      </w:r>
      <w:r w:rsidRPr="006340BE">
        <w:rPr>
          <w:rFonts w:ascii="Times New Roman" w:hAnsi="Times New Roman" w:cs="Times New Roman"/>
          <w:color w:val="000000" w:themeColor="text1"/>
          <w:sz w:val="24"/>
          <w:szCs w:val="24"/>
        </w:rPr>
        <w:t xml:space="preserve"> where best practice is disseminated faster across Europe. </w:t>
      </w:r>
      <w:r w:rsidR="00681692" w:rsidRPr="006340BE">
        <w:rPr>
          <w:rFonts w:ascii="Times New Roman" w:hAnsi="Times New Roman" w:cs="Times New Roman"/>
          <w:color w:val="000000" w:themeColor="text1"/>
          <w:sz w:val="24"/>
          <w:szCs w:val="24"/>
        </w:rPr>
        <w:t xml:space="preserve">Member States willing to increase the performance of their </w:t>
      </w:r>
      <w:proofErr w:type="gramStart"/>
      <w:r w:rsidR="00681692" w:rsidRPr="006340BE">
        <w:rPr>
          <w:rFonts w:ascii="Times New Roman" w:hAnsi="Times New Roman" w:cs="Times New Roman"/>
          <w:color w:val="000000" w:themeColor="text1"/>
          <w:sz w:val="24"/>
          <w:szCs w:val="24"/>
        </w:rPr>
        <w:t>R&amp;I</w:t>
      </w:r>
      <w:proofErr w:type="gramEnd"/>
      <w:r w:rsidR="00681692" w:rsidRPr="006340BE">
        <w:rPr>
          <w:rFonts w:ascii="Times New Roman" w:hAnsi="Times New Roman" w:cs="Times New Roman"/>
          <w:color w:val="000000" w:themeColor="text1"/>
          <w:sz w:val="24"/>
          <w:szCs w:val="24"/>
        </w:rPr>
        <w:t xml:space="preserve"> system towards excellence should be encouraged and supported, b</w:t>
      </w:r>
      <w:r w:rsidRPr="006340BE">
        <w:rPr>
          <w:rFonts w:ascii="Times New Roman" w:hAnsi="Times New Roman" w:cs="Times New Roman"/>
          <w:color w:val="000000" w:themeColor="text1"/>
          <w:sz w:val="24"/>
          <w:szCs w:val="24"/>
        </w:rPr>
        <w:t xml:space="preserve">uilding on </w:t>
      </w:r>
      <w:r w:rsidR="00B418B0" w:rsidRPr="006340BE">
        <w:rPr>
          <w:rFonts w:ascii="Times New Roman" w:hAnsi="Times New Roman" w:cs="Times New Roman"/>
          <w:color w:val="000000" w:themeColor="text1"/>
          <w:sz w:val="24"/>
          <w:szCs w:val="24"/>
        </w:rPr>
        <w:t xml:space="preserve">dedicated Horizon Europe measures and </w:t>
      </w:r>
      <w:r w:rsidR="00681692" w:rsidRPr="006340BE">
        <w:rPr>
          <w:rFonts w:ascii="Times New Roman" w:hAnsi="Times New Roman" w:cs="Times New Roman"/>
          <w:color w:val="000000" w:themeColor="text1"/>
          <w:sz w:val="24"/>
          <w:szCs w:val="24"/>
        </w:rPr>
        <w:t xml:space="preserve">complementarities </w:t>
      </w:r>
      <w:r w:rsidR="00BF5F5F" w:rsidRPr="006340BE">
        <w:rPr>
          <w:rFonts w:ascii="Times New Roman" w:hAnsi="Times New Roman" w:cs="Times New Roman"/>
          <w:color w:val="000000" w:themeColor="text1"/>
          <w:sz w:val="24"/>
          <w:szCs w:val="24"/>
        </w:rPr>
        <w:t>with</w:t>
      </w:r>
      <w:r w:rsidR="00681692" w:rsidRPr="006340BE">
        <w:rPr>
          <w:rFonts w:ascii="Times New Roman" w:hAnsi="Times New Roman" w:cs="Times New Roman"/>
          <w:color w:val="000000" w:themeColor="text1"/>
          <w:sz w:val="24"/>
          <w:szCs w:val="24"/>
        </w:rPr>
        <w:t xml:space="preserve"> </w:t>
      </w:r>
      <w:r w:rsidR="00013D29" w:rsidRPr="006340BE">
        <w:rPr>
          <w:rFonts w:ascii="Times New Roman" w:hAnsi="Times New Roman" w:cs="Times New Roman"/>
          <w:color w:val="000000" w:themeColor="text1"/>
          <w:sz w:val="24"/>
          <w:szCs w:val="24"/>
        </w:rPr>
        <w:t xml:space="preserve">smart specialisation strategies under </w:t>
      </w:r>
      <w:r w:rsidRPr="006340BE">
        <w:rPr>
          <w:rFonts w:ascii="Times New Roman" w:hAnsi="Times New Roman" w:cs="Times New Roman"/>
          <w:color w:val="000000" w:themeColor="text1"/>
          <w:sz w:val="24"/>
          <w:szCs w:val="24"/>
        </w:rPr>
        <w:t>Cohesion Policy</w:t>
      </w:r>
      <w:r w:rsidR="00681692" w:rsidRPr="006340BE">
        <w:rPr>
          <w:rFonts w:ascii="Times New Roman" w:hAnsi="Times New Roman" w:cs="Times New Roman"/>
          <w:color w:val="000000" w:themeColor="text1"/>
          <w:sz w:val="24"/>
          <w:szCs w:val="24"/>
        </w:rPr>
        <w:t>.</w:t>
      </w:r>
    </w:p>
    <w:p w14:paraId="3367A8E8" w14:textId="21FF25F1" w:rsidR="008416FC" w:rsidRPr="006340BE" w:rsidRDefault="008416FC">
      <w:pPr>
        <w:pStyle w:val="ListParagraph"/>
        <w:numPr>
          <w:ilvl w:val="0"/>
          <w:numId w:val="6"/>
        </w:numPr>
        <w:spacing w:before="120" w:after="0" w:line="240" w:lineRule="auto"/>
        <w:ind w:hanging="218"/>
        <w:contextualSpacing w:val="0"/>
        <w:jc w:val="both"/>
        <w:rPr>
          <w:rFonts w:ascii="Times New Roman" w:hAnsi="Times New Roman" w:cs="Times New Roman"/>
          <w:color w:val="000000" w:themeColor="text1"/>
          <w:sz w:val="24"/>
          <w:szCs w:val="24"/>
        </w:rPr>
      </w:pPr>
      <w:r w:rsidRPr="00D67EDB">
        <w:rPr>
          <w:rFonts w:ascii="Times New Roman" w:hAnsi="Times New Roman" w:cs="Times New Roman"/>
          <w:b/>
          <w:bCs/>
          <w:color w:val="000000" w:themeColor="text1"/>
          <w:sz w:val="24"/>
          <w:szCs w:val="24"/>
          <w:highlight w:val="yellow"/>
        </w:rPr>
        <w:lastRenderedPageBreak/>
        <w:t>Translating R&amp;I results into the economy</w:t>
      </w:r>
      <w:r w:rsidRPr="006340BE">
        <w:rPr>
          <w:rFonts w:ascii="Times New Roman" w:hAnsi="Times New Roman" w:cs="Times New Roman"/>
          <w:color w:val="000000" w:themeColor="text1"/>
          <w:sz w:val="24"/>
          <w:szCs w:val="24"/>
        </w:rPr>
        <w:t xml:space="preserve">: </w:t>
      </w:r>
      <w:r w:rsidR="00B26B18" w:rsidRPr="006340BE">
        <w:rPr>
          <w:rFonts w:ascii="Times New Roman" w:hAnsi="Times New Roman"/>
          <w:color w:val="000000" w:themeColor="text1"/>
          <w:sz w:val="24"/>
          <w:szCs w:val="24"/>
        </w:rPr>
        <w:t xml:space="preserve">R&amp;I </w:t>
      </w:r>
      <w:r w:rsidR="00003A8C" w:rsidRPr="006340BE">
        <w:rPr>
          <w:rFonts w:ascii="Times New Roman" w:hAnsi="Times New Roman"/>
          <w:color w:val="000000" w:themeColor="text1"/>
          <w:sz w:val="24"/>
          <w:szCs w:val="24"/>
        </w:rPr>
        <w:t>policies should aim at</w:t>
      </w:r>
      <w:r w:rsidR="00B26B18" w:rsidRPr="006340BE">
        <w:rPr>
          <w:rFonts w:ascii="Times New Roman" w:hAnsi="Times New Roman"/>
          <w:color w:val="000000" w:themeColor="text1"/>
          <w:sz w:val="24"/>
          <w:szCs w:val="24"/>
        </w:rPr>
        <w:t xml:space="preserve"> </w:t>
      </w:r>
      <w:r w:rsidRPr="006340BE">
        <w:rPr>
          <w:rFonts w:ascii="Times New Roman" w:hAnsi="Times New Roman"/>
          <w:color w:val="000000" w:themeColor="text1"/>
          <w:sz w:val="24"/>
          <w:szCs w:val="24"/>
        </w:rPr>
        <w:t>boost</w:t>
      </w:r>
      <w:r w:rsidR="00003A8C" w:rsidRPr="006340BE">
        <w:rPr>
          <w:rFonts w:ascii="Times New Roman" w:hAnsi="Times New Roman"/>
          <w:color w:val="000000" w:themeColor="text1"/>
          <w:sz w:val="24"/>
          <w:szCs w:val="24"/>
        </w:rPr>
        <w:t>ing</w:t>
      </w:r>
      <w:r w:rsidRPr="006340BE">
        <w:rPr>
          <w:rFonts w:ascii="Times New Roman" w:hAnsi="Times New Roman"/>
          <w:color w:val="000000" w:themeColor="text1"/>
          <w:sz w:val="24"/>
          <w:szCs w:val="24"/>
        </w:rPr>
        <w:t xml:space="preserve"> the resilience and competitiveness of our economies and societies. This means ensuring Europe’s competitive leadership in the global race for technology while improving the environment for business </w:t>
      </w:r>
      <w:proofErr w:type="gramStart"/>
      <w:r w:rsidRPr="006340BE">
        <w:rPr>
          <w:rFonts w:ascii="Times New Roman" w:hAnsi="Times New Roman"/>
          <w:color w:val="000000" w:themeColor="text1"/>
          <w:sz w:val="24"/>
          <w:szCs w:val="24"/>
        </w:rPr>
        <w:t>R&amp;I</w:t>
      </w:r>
      <w:proofErr w:type="gramEnd"/>
      <w:r w:rsidRPr="006340BE">
        <w:rPr>
          <w:rFonts w:ascii="Times New Roman" w:hAnsi="Times New Roman"/>
          <w:color w:val="000000" w:themeColor="text1"/>
          <w:sz w:val="24"/>
          <w:szCs w:val="24"/>
        </w:rPr>
        <w:t xml:space="preserve"> investment</w:t>
      </w:r>
      <w:r w:rsidR="00E911E3" w:rsidRPr="006340BE">
        <w:rPr>
          <w:rFonts w:ascii="Times New Roman" w:hAnsi="Times New Roman"/>
          <w:color w:val="000000" w:themeColor="text1"/>
          <w:sz w:val="24"/>
          <w:szCs w:val="24"/>
        </w:rPr>
        <w:t>, deployment of new technologies</w:t>
      </w:r>
      <w:r w:rsidRPr="006340BE">
        <w:rPr>
          <w:rFonts w:ascii="Times New Roman" w:hAnsi="Times New Roman"/>
          <w:color w:val="000000" w:themeColor="text1"/>
          <w:sz w:val="24"/>
          <w:szCs w:val="24"/>
        </w:rPr>
        <w:t xml:space="preserve"> and enhancing the take up and visibility of research results in the economy</w:t>
      </w:r>
      <w:r w:rsidR="002668CD" w:rsidRPr="006340BE">
        <w:rPr>
          <w:rFonts w:ascii="Times New Roman" w:hAnsi="Times New Roman"/>
          <w:color w:val="000000" w:themeColor="text1"/>
          <w:sz w:val="24"/>
          <w:szCs w:val="24"/>
        </w:rPr>
        <w:t xml:space="preserve"> and society</w:t>
      </w:r>
      <w:r w:rsidR="0085713F" w:rsidRPr="006340BE">
        <w:rPr>
          <w:rFonts w:ascii="Times New Roman" w:hAnsi="Times New Roman"/>
          <w:color w:val="000000" w:themeColor="text1"/>
          <w:sz w:val="24"/>
          <w:szCs w:val="24"/>
        </w:rPr>
        <w:t xml:space="preserve"> as a whole</w:t>
      </w:r>
      <w:r w:rsidRPr="006340BE">
        <w:rPr>
          <w:rFonts w:ascii="Times New Roman" w:hAnsi="Times New Roman"/>
          <w:color w:val="000000" w:themeColor="text1"/>
          <w:sz w:val="24"/>
          <w:szCs w:val="24"/>
        </w:rPr>
        <w:t xml:space="preserve">. </w:t>
      </w:r>
    </w:p>
    <w:p w14:paraId="1C62EAB9" w14:textId="0C3B2AC7" w:rsidR="003B1173" w:rsidRPr="006340BE" w:rsidRDefault="008416FC">
      <w:pPr>
        <w:pStyle w:val="ListParagraph"/>
        <w:numPr>
          <w:ilvl w:val="0"/>
          <w:numId w:val="6"/>
        </w:numPr>
        <w:spacing w:before="120" w:after="0" w:line="240" w:lineRule="auto"/>
        <w:ind w:hanging="218"/>
        <w:contextualSpacing w:val="0"/>
        <w:jc w:val="both"/>
        <w:rPr>
          <w:rFonts w:ascii="Times New Roman" w:hAnsi="Times New Roman" w:cs="Times New Roman"/>
          <w:smallCaps/>
          <w:color w:val="000000" w:themeColor="text1"/>
          <w:sz w:val="24"/>
          <w:szCs w:val="24"/>
        </w:rPr>
      </w:pPr>
      <w:r w:rsidRPr="00D67EDB">
        <w:rPr>
          <w:rFonts w:ascii="Times New Roman" w:hAnsi="Times New Roman" w:cs="Times New Roman"/>
          <w:b/>
          <w:bCs/>
          <w:color w:val="000000" w:themeColor="text1"/>
          <w:sz w:val="24"/>
          <w:szCs w:val="24"/>
          <w:highlight w:val="yellow"/>
        </w:rPr>
        <w:t>Deepening the ERA</w:t>
      </w:r>
      <w:r w:rsidRPr="00D67EDB">
        <w:rPr>
          <w:rFonts w:ascii="Times New Roman" w:hAnsi="Times New Roman" w:cs="Times New Roman"/>
          <w:i/>
          <w:color w:val="000000" w:themeColor="text1"/>
          <w:sz w:val="24"/>
          <w:szCs w:val="24"/>
          <w:highlight w:val="yellow"/>
        </w:rPr>
        <w:t>:</w:t>
      </w:r>
      <w:r w:rsidRPr="006340BE">
        <w:rPr>
          <w:rFonts w:ascii="Times New Roman" w:hAnsi="Times New Roman" w:cs="Times New Roman"/>
          <w:color w:val="000000" w:themeColor="text1"/>
          <w:sz w:val="24"/>
          <w:szCs w:val="24"/>
        </w:rPr>
        <w:t xml:space="preserve"> to further progress on the free circulation of knowledge in an upgraded, efficient and effective R&amp;I system</w:t>
      </w:r>
      <w:r w:rsidR="003B1173" w:rsidRPr="006340BE">
        <w:rPr>
          <w:rFonts w:ascii="Times New Roman" w:hAnsi="Times New Roman" w:cs="Times New Roman"/>
          <w:color w:val="000000" w:themeColor="text1"/>
          <w:sz w:val="24"/>
          <w:szCs w:val="24"/>
        </w:rPr>
        <w:t>, in particular by moving from an approach of coordination towards deeper integration between national policies</w:t>
      </w:r>
      <w:r w:rsidRPr="006340BE">
        <w:rPr>
          <w:rFonts w:ascii="Times New Roman" w:hAnsi="Times New Roman" w:cs="Times New Roman"/>
          <w:color w:val="000000" w:themeColor="text1"/>
          <w:sz w:val="24"/>
          <w:szCs w:val="24"/>
        </w:rPr>
        <w:t xml:space="preserve">. The ERA will continue to promote </w:t>
      </w:r>
      <w:r w:rsidRPr="006340BE">
        <w:rPr>
          <w:rFonts w:ascii="Times New Roman" w:hAnsi="Times New Roman"/>
          <w:color w:val="000000" w:themeColor="text1"/>
          <w:sz w:val="24"/>
        </w:rPr>
        <w:t>adequate framework conditions</w:t>
      </w:r>
      <w:r w:rsidR="00CB3574" w:rsidRPr="00CB3574">
        <w:rPr>
          <w:rFonts w:ascii="Times New Roman" w:hAnsi="Times New Roman"/>
          <w:color w:val="000000" w:themeColor="text1"/>
          <w:sz w:val="24"/>
        </w:rPr>
        <w:t xml:space="preserve"> </w:t>
      </w:r>
      <w:r w:rsidR="00CB3574">
        <w:rPr>
          <w:rFonts w:ascii="Times New Roman" w:hAnsi="Times New Roman"/>
          <w:color w:val="000000" w:themeColor="text1"/>
          <w:sz w:val="24"/>
        </w:rPr>
        <w:t>and inclusiveness</w:t>
      </w:r>
      <w:r w:rsidRPr="006340BE">
        <w:rPr>
          <w:rFonts w:ascii="Times New Roman" w:hAnsi="Times New Roman"/>
          <w:color w:val="000000" w:themeColor="text1"/>
          <w:sz w:val="24"/>
        </w:rPr>
        <w:t xml:space="preserve">, help develop </w:t>
      </w:r>
      <w:r w:rsidRPr="006340BE">
        <w:rPr>
          <w:rFonts w:ascii="Times New Roman" w:hAnsi="Times New Roman" w:cs="Times New Roman"/>
          <w:color w:val="000000" w:themeColor="text1"/>
          <w:sz w:val="24"/>
          <w:szCs w:val="24"/>
        </w:rPr>
        <w:t xml:space="preserve">the skills that </w:t>
      </w:r>
      <w:r w:rsidRPr="006340BE">
        <w:rPr>
          <w:rFonts w:ascii="Times New Roman" w:hAnsi="Times New Roman"/>
          <w:color w:val="000000" w:themeColor="text1"/>
          <w:sz w:val="24"/>
        </w:rPr>
        <w:t>researchers need for excellent science</w:t>
      </w:r>
      <w:r w:rsidR="00CB3574">
        <w:rPr>
          <w:rFonts w:ascii="Times New Roman" w:hAnsi="Times New Roman"/>
          <w:color w:val="000000" w:themeColor="text1"/>
          <w:sz w:val="24"/>
        </w:rPr>
        <w:t xml:space="preserve">, </w:t>
      </w:r>
      <w:r w:rsidRPr="006340BE">
        <w:rPr>
          <w:rFonts w:ascii="Times New Roman" w:hAnsi="Times New Roman"/>
          <w:color w:val="000000" w:themeColor="text1"/>
          <w:sz w:val="24"/>
        </w:rPr>
        <w:t>and</w:t>
      </w:r>
      <w:r w:rsidRPr="006340BE">
        <w:rPr>
          <w:rFonts w:ascii="Times New Roman" w:hAnsi="Times New Roman" w:cs="Times New Roman"/>
          <w:color w:val="000000" w:themeColor="text1"/>
          <w:sz w:val="24"/>
          <w:szCs w:val="24"/>
        </w:rPr>
        <w:t xml:space="preserve"> connect all actors across Europe</w:t>
      </w:r>
      <w:r w:rsidR="002668CD" w:rsidRPr="006340BE">
        <w:rPr>
          <w:rFonts w:ascii="Times New Roman" w:hAnsi="Times New Roman" w:cs="Times New Roman"/>
          <w:color w:val="000000" w:themeColor="text1"/>
          <w:sz w:val="24"/>
          <w:szCs w:val="24"/>
        </w:rPr>
        <w:t>, including in education, training and the labour market</w:t>
      </w:r>
      <w:r w:rsidRPr="006340BE">
        <w:rPr>
          <w:rFonts w:ascii="Times New Roman" w:hAnsi="Times New Roman" w:cs="Times New Roman"/>
          <w:color w:val="000000" w:themeColor="text1"/>
          <w:sz w:val="24"/>
          <w:szCs w:val="24"/>
        </w:rPr>
        <w:t>.</w:t>
      </w:r>
    </w:p>
    <w:p w14:paraId="56A130DA" w14:textId="04A513DF" w:rsidR="00626841" w:rsidRPr="006340BE" w:rsidRDefault="00626841" w:rsidP="00F74968">
      <w:pPr>
        <w:spacing w:before="120" w:after="0" w:line="240" w:lineRule="auto"/>
        <w:jc w:val="both"/>
        <w:rPr>
          <w:rFonts w:ascii="Times New Roman" w:hAnsi="Times New Roman"/>
          <w:color w:val="000000" w:themeColor="text1"/>
          <w:sz w:val="24"/>
        </w:rPr>
      </w:pPr>
      <w:r w:rsidRPr="006340BE">
        <w:rPr>
          <w:rFonts w:ascii="Times New Roman" w:hAnsi="Times New Roman" w:cs="Times New Roman"/>
          <w:color w:val="000000" w:themeColor="text1"/>
          <w:sz w:val="24"/>
          <w:szCs w:val="24"/>
        </w:rPr>
        <w:t xml:space="preserve">To </w:t>
      </w:r>
      <w:r w:rsidR="00D1788F" w:rsidRPr="006340BE">
        <w:rPr>
          <w:rFonts w:ascii="Times New Roman" w:hAnsi="Times New Roman" w:cs="Times New Roman"/>
          <w:color w:val="000000" w:themeColor="text1"/>
          <w:sz w:val="24"/>
          <w:szCs w:val="24"/>
        </w:rPr>
        <w:t xml:space="preserve">accomplish the objectives </w:t>
      </w:r>
      <w:r w:rsidR="003D7685" w:rsidRPr="006340BE">
        <w:rPr>
          <w:rFonts w:ascii="Times New Roman" w:hAnsi="Times New Roman" w:cs="Times New Roman"/>
          <w:color w:val="000000" w:themeColor="text1"/>
          <w:sz w:val="24"/>
          <w:szCs w:val="24"/>
        </w:rPr>
        <w:t>t</w:t>
      </w:r>
      <w:r w:rsidR="00020F1B" w:rsidRPr="006340BE">
        <w:rPr>
          <w:rFonts w:ascii="Times New Roman" w:hAnsi="Times New Roman" w:cs="Times New Roman"/>
          <w:color w:val="000000" w:themeColor="text1"/>
          <w:sz w:val="24"/>
          <w:szCs w:val="24"/>
        </w:rPr>
        <w:t xml:space="preserve">he Commission proposes </w:t>
      </w:r>
      <w:r w:rsidR="00B82A14" w:rsidRPr="006340BE">
        <w:rPr>
          <w:rFonts w:ascii="Times New Roman" w:hAnsi="Times New Roman" w:cs="Times New Roman"/>
          <w:color w:val="000000" w:themeColor="text1"/>
          <w:sz w:val="24"/>
          <w:szCs w:val="24"/>
        </w:rPr>
        <w:t>a</w:t>
      </w:r>
      <w:r w:rsidRPr="006340BE">
        <w:rPr>
          <w:rFonts w:ascii="Times New Roman" w:hAnsi="Times New Roman" w:cs="Times New Roman"/>
          <w:color w:val="000000" w:themeColor="text1"/>
          <w:sz w:val="24"/>
          <w:szCs w:val="24"/>
        </w:rPr>
        <w:t xml:space="preserve"> set of actions to </w:t>
      </w:r>
      <w:r w:rsidR="00D1788F" w:rsidRPr="006340BE">
        <w:rPr>
          <w:rFonts w:ascii="Times New Roman" w:hAnsi="Times New Roman" w:cs="Times New Roman"/>
          <w:color w:val="000000" w:themeColor="text1"/>
          <w:sz w:val="24"/>
          <w:szCs w:val="24"/>
        </w:rPr>
        <w:t xml:space="preserve">be implemented </w:t>
      </w:r>
      <w:r w:rsidRPr="006340BE">
        <w:rPr>
          <w:rFonts w:ascii="Times New Roman" w:hAnsi="Times New Roman" w:cs="Times New Roman"/>
          <w:color w:val="000000" w:themeColor="text1"/>
          <w:sz w:val="24"/>
          <w:szCs w:val="24"/>
        </w:rPr>
        <w:t xml:space="preserve">in </w:t>
      </w:r>
      <w:r w:rsidR="00594A2B" w:rsidRPr="006340BE">
        <w:rPr>
          <w:rFonts w:ascii="Times New Roman" w:hAnsi="Times New Roman" w:cs="Times New Roman"/>
          <w:color w:val="000000" w:themeColor="text1"/>
          <w:sz w:val="24"/>
          <w:szCs w:val="24"/>
        </w:rPr>
        <w:t>collaboration</w:t>
      </w:r>
      <w:r w:rsidRPr="006340BE">
        <w:rPr>
          <w:rFonts w:ascii="Times New Roman" w:hAnsi="Times New Roman" w:cs="Times New Roman"/>
          <w:color w:val="000000" w:themeColor="text1"/>
          <w:sz w:val="24"/>
          <w:szCs w:val="24"/>
        </w:rPr>
        <w:t xml:space="preserve"> with Member States and stakeholders </w:t>
      </w:r>
      <w:r w:rsidRPr="006340BE">
        <w:rPr>
          <w:rFonts w:ascii="Times New Roman" w:hAnsi="Times New Roman"/>
          <w:color w:val="000000" w:themeColor="text1"/>
          <w:sz w:val="24"/>
        </w:rPr>
        <w:t xml:space="preserve">according to </w:t>
      </w:r>
      <w:r w:rsidR="00E6273E" w:rsidRPr="006340BE">
        <w:rPr>
          <w:rFonts w:ascii="Times New Roman" w:hAnsi="Times New Roman"/>
          <w:color w:val="000000" w:themeColor="text1"/>
          <w:sz w:val="24"/>
        </w:rPr>
        <w:t>an</w:t>
      </w:r>
      <w:r w:rsidR="000453A4" w:rsidRPr="006340BE">
        <w:rPr>
          <w:rFonts w:ascii="Times New Roman" w:hAnsi="Times New Roman" w:cs="Times New Roman"/>
          <w:color w:val="000000" w:themeColor="text1"/>
          <w:sz w:val="24"/>
          <w:szCs w:val="24"/>
        </w:rPr>
        <w:t xml:space="preserve"> </w:t>
      </w:r>
      <w:r w:rsidR="000453A4" w:rsidRPr="00D67EDB">
        <w:rPr>
          <w:rFonts w:ascii="Times New Roman" w:hAnsi="Times New Roman" w:cs="Times New Roman"/>
          <w:i/>
          <w:iCs/>
          <w:color w:val="000000" w:themeColor="text1"/>
          <w:sz w:val="24"/>
          <w:szCs w:val="24"/>
          <w:highlight w:val="yellow"/>
        </w:rPr>
        <w:t>ERA Roadmap</w:t>
      </w:r>
      <w:r w:rsidR="000453A4" w:rsidRPr="00D67EDB">
        <w:rPr>
          <w:rFonts w:ascii="Times New Roman" w:hAnsi="Times New Roman" w:cs="Times New Roman"/>
          <w:color w:val="000000" w:themeColor="text1"/>
          <w:sz w:val="24"/>
          <w:szCs w:val="24"/>
          <w:highlight w:val="yellow"/>
        </w:rPr>
        <w:t xml:space="preserve"> </w:t>
      </w:r>
      <w:r w:rsidR="009C25E4" w:rsidRPr="00D67EDB">
        <w:rPr>
          <w:rFonts w:ascii="Times New Roman" w:hAnsi="Times New Roman" w:cs="Times New Roman"/>
          <w:color w:val="000000" w:themeColor="text1"/>
          <w:sz w:val="24"/>
          <w:szCs w:val="24"/>
          <w:highlight w:val="yellow"/>
        </w:rPr>
        <w:t>(</w:t>
      </w:r>
      <w:r w:rsidR="009E3399" w:rsidRPr="00D67EDB">
        <w:rPr>
          <w:rFonts w:ascii="Times New Roman" w:hAnsi="Times New Roman" w:cs="Times New Roman"/>
          <w:color w:val="000000" w:themeColor="text1"/>
          <w:sz w:val="24"/>
          <w:szCs w:val="24"/>
          <w:highlight w:val="yellow"/>
        </w:rPr>
        <w:t xml:space="preserve">see </w:t>
      </w:r>
      <w:r w:rsidR="00D94C4C" w:rsidRPr="00D67EDB">
        <w:rPr>
          <w:rFonts w:ascii="Times New Roman" w:hAnsi="Times New Roman" w:cs="Times New Roman"/>
          <w:color w:val="000000" w:themeColor="text1"/>
          <w:sz w:val="24"/>
          <w:szCs w:val="24"/>
          <w:highlight w:val="yellow"/>
        </w:rPr>
        <w:t>appendix</w:t>
      </w:r>
      <w:r w:rsidR="009C25E4" w:rsidRPr="00D67EDB">
        <w:rPr>
          <w:rFonts w:ascii="Times New Roman" w:hAnsi="Times New Roman" w:cs="Times New Roman"/>
          <w:color w:val="000000" w:themeColor="text1"/>
          <w:sz w:val="24"/>
          <w:szCs w:val="24"/>
          <w:highlight w:val="yellow"/>
        </w:rPr>
        <w:t>)</w:t>
      </w:r>
      <w:r w:rsidR="000453A4" w:rsidRPr="00D67EDB">
        <w:rPr>
          <w:rFonts w:ascii="Times New Roman" w:hAnsi="Times New Roman" w:cs="Times New Roman"/>
          <w:color w:val="000000" w:themeColor="text1"/>
          <w:sz w:val="24"/>
          <w:szCs w:val="24"/>
          <w:highlight w:val="yellow"/>
        </w:rPr>
        <w:t>.</w:t>
      </w:r>
    </w:p>
    <w:p w14:paraId="00DBF231" w14:textId="44BDA197" w:rsidR="00020F1B" w:rsidRPr="006340BE" w:rsidRDefault="00A618F8" w:rsidP="00F74968">
      <w:pPr>
        <w:spacing w:before="120" w:after="0" w:line="240" w:lineRule="auto"/>
        <w:jc w:val="both"/>
        <w:rPr>
          <w:rFonts w:ascii="Times New Roman" w:hAnsi="Times New Roman" w:cs="Times New Roman"/>
          <w:color w:val="000000" w:themeColor="text1"/>
          <w:sz w:val="24"/>
          <w:szCs w:val="24"/>
          <w:lang w:val="en-US"/>
        </w:rPr>
      </w:pPr>
      <w:r w:rsidRPr="006340BE">
        <w:rPr>
          <w:rFonts w:ascii="Times New Roman" w:hAnsi="Times New Roman" w:cs="Times New Roman"/>
          <w:color w:val="000000" w:themeColor="text1"/>
          <w:sz w:val="24"/>
          <w:szCs w:val="24"/>
        </w:rPr>
        <w:t>I</w:t>
      </w:r>
      <w:r w:rsidR="00FD63D8" w:rsidRPr="006340BE">
        <w:rPr>
          <w:rFonts w:ascii="Times New Roman" w:hAnsi="Times New Roman" w:cs="Times New Roman"/>
          <w:color w:val="000000" w:themeColor="text1"/>
          <w:sz w:val="24"/>
          <w:szCs w:val="24"/>
        </w:rPr>
        <w:t xml:space="preserve">n </w:t>
      </w:r>
      <w:r w:rsidR="00E37277" w:rsidRPr="006340BE">
        <w:rPr>
          <w:rFonts w:ascii="Times New Roman" w:hAnsi="Times New Roman" w:cs="Times New Roman"/>
          <w:color w:val="000000" w:themeColor="text1"/>
          <w:sz w:val="24"/>
          <w:szCs w:val="24"/>
        </w:rPr>
        <w:t xml:space="preserve">response to </w:t>
      </w:r>
      <w:r w:rsidR="00FD63D8" w:rsidRPr="006340BE">
        <w:rPr>
          <w:rFonts w:ascii="Times New Roman" w:hAnsi="Times New Roman" w:cs="Times New Roman"/>
          <w:color w:val="000000" w:themeColor="text1"/>
          <w:sz w:val="24"/>
          <w:szCs w:val="24"/>
        </w:rPr>
        <w:t xml:space="preserve">the </w:t>
      </w:r>
      <w:r w:rsidR="00FD63D8" w:rsidRPr="006340BE">
        <w:rPr>
          <w:rFonts w:ascii="Times New Roman" w:hAnsi="Times New Roman" w:cs="Times New Roman"/>
          <w:i/>
          <w:iCs/>
          <w:color w:val="000000" w:themeColor="text1"/>
          <w:sz w:val="24"/>
          <w:szCs w:val="24"/>
        </w:rPr>
        <w:t>Opinion of the European Research and Innovation Area Committee</w:t>
      </w:r>
      <w:r w:rsidR="00FD63D8" w:rsidRPr="006340BE">
        <w:rPr>
          <w:rFonts w:ascii="Times New Roman" w:hAnsi="Times New Roman" w:cs="Times New Roman"/>
          <w:color w:val="000000" w:themeColor="text1"/>
          <w:sz w:val="24"/>
          <w:szCs w:val="24"/>
        </w:rPr>
        <w:t xml:space="preserve"> (ERAC) of December 2019</w:t>
      </w:r>
      <w:r w:rsidR="00CB6D8A" w:rsidRPr="006340BE">
        <w:rPr>
          <w:rStyle w:val="FootnoteReference"/>
          <w:rFonts w:ascii="Times New Roman" w:hAnsi="Times New Roman" w:cs="Times New Roman"/>
          <w:color w:val="000000" w:themeColor="text1"/>
          <w:sz w:val="24"/>
          <w:szCs w:val="24"/>
        </w:rPr>
        <w:footnoteReference w:id="22"/>
      </w:r>
      <w:r w:rsidR="00FD63D8" w:rsidRPr="006340BE">
        <w:rPr>
          <w:rFonts w:ascii="Times New Roman" w:hAnsi="Times New Roman" w:cs="Times New Roman"/>
          <w:color w:val="000000" w:themeColor="text1"/>
          <w:sz w:val="24"/>
          <w:szCs w:val="24"/>
        </w:rPr>
        <w:t xml:space="preserve"> </w:t>
      </w:r>
      <w:r w:rsidRPr="006340BE">
        <w:rPr>
          <w:rFonts w:ascii="Times New Roman" w:hAnsi="Times New Roman" w:cs="Times New Roman"/>
          <w:color w:val="000000" w:themeColor="text1"/>
          <w:sz w:val="24"/>
          <w:szCs w:val="24"/>
        </w:rPr>
        <w:t xml:space="preserve">the Commission proposes </w:t>
      </w:r>
      <w:r w:rsidR="00FD63D8" w:rsidRPr="006340BE">
        <w:rPr>
          <w:rFonts w:ascii="Times New Roman" w:hAnsi="Times New Roman" w:cs="Times New Roman"/>
          <w:color w:val="000000" w:themeColor="text1"/>
          <w:sz w:val="24"/>
          <w:szCs w:val="24"/>
        </w:rPr>
        <w:t xml:space="preserve">that </w:t>
      </w:r>
      <w:r w:rsidR="00020F1B" w:rsidRPr="006340BE">
        <w:rPr>
          <w:rFonts w:ascii="Times New Roman" w:hAnsi="Times New Roman" w:cs="Times New Roman"/>
          <w:color w:val="000000" w:themeColor="text1"/>
          <w:sz w:val="24"/>
          <w:szCs w:val="24"/>
        </w:rPr>
        <w:t>Member States re</w:t>
      </w:r>
      <w:r w:rsidR="0009181D" w:rsidRPr="006340BE">
        <w:rPr>
          <w:rFonts w:ascii="Times New Roman" w:hAnsi="Times New Roman" w:cs="Times New Roman"/>
          <w:color w:val="000000" w:themeColor="text1"/>
          <w:sz w:val="24"/>
          <w:szCs w:val="24"/>
        </w:rPr>
        <w:t xml:space="preserve">inforce </w:t>
      </w:r>
      <w:r w:rsidR="00020F1B" w:rsidRPr="006340BE">
        <w:rPr>
          <w:rFonts w:ascii="Times New Roman" w:hAnsi="Times New Roman" w:cs="Times New Roman"/>
          <w:color w:val="000000" w:themeColor="text1"/>
          <w:sz w:val="24"/>
          <w:szCs w:val="24"/>
        </w:rPr>
        <w:t xml:space="preserve">their commitment </w:t>
      </w:r>
      <w:r w:rsidR="00340081" w:rsidRPr="006340BE">
        <w:rPr>
          <w:rFonts w:ascii="Times New Roman" w:hAnsi="Times New Roman" w:cs="Times New Roman"/>
          <w:color w:val="000000" w:themeColor="text1"/>
          <w:sz w:val="24"/>
          <w:szCs w:val="24"/>
        </w:rPr>
        <w:t xml:space="preserve">to </w:t>
      </w:r>
      <w:r w:rsidR="00626841" w:rsidRPr="006340BE">
        <w:rPr>
          <w:rFonts w:ascii="Times New Roman" w:hAnsi="Times New Roman" w:cs="Times New Roman"/>
          <w:color w:val="000000" w:themeColor="text1"/>
          <w:sz w:val="24"/>
          <w:szCs w:val="24"/>
        </w:rPr>
        <w:t xml:space="preserve">shared </w:t>
      </w:r>
      <w:r w:rsidR="008739C2" w:rsidRPr="006340BE">
        <w:rPr>
          <w:rFonts w:ascii="Times New Roman" w:hAnsi="Times New Roman" w:cs="Times New Roman"/>
          <w:color w:val="000000" w:themeColor="text1"/>
          <w:sz w:val="24"/>
          <w:szCs w:val="24"/>
        </w:rPr>
        <w:t xml:space="preserve">policies </w:t>
      </w:r>
      <w:r w:rsidR="00626841" w:rsidRPr="006340BE">
        <w:rPr>
          <w:rFonts w:ascii="Times New Roman" w:hAnsi="Times New Roman" w:cs="Times New Roman"/>
          <w:color w:val="000000" w:themeColor="text1"/>
          <w:sz w:val="24"/>
          <w:szCs w:val="24"/>
        </w:rPr>
        <w:t xml:space="preserve">and principles, drawing on the 20 years of </w:t>
      </w:r>
      <w:r w:rsidR="00D1788F" w:rsidRPr="006340BE">
        <w:rPr>
          <w:rFonts w:ascii="Times New Roman" w:hAnsi="Times New Roman" w:cs="Times New Roman"/>
          <w:color w:val="000000" w:themeColor="text1"/>
          <w:sz w:val="24"/>
          <w:szCs w:val="24"/>
        </w:rPr>
        <w:t xml:space="preserve">the </w:t>
      </w:r>
      <w:r w:rsidR="00626841" w:rsidRPr="006340BE">
        <w:rPr>
          <w:rFonts w:ascii="Times New Roman" w:hAnsi="Times New Roman" w:cs="Times New Roman"/>
          <w:color w:val="000000" w:themeColor="text1"/>
          <w:sz w:val="24"/>
          <w:szCs w:val="24"/>
        </w:rPr>
        <w:t xml:space="preserve">ERA, </w:t>
      </w:r>
      <w:r w:rsidR="00020F1B" w:rsidRPr="00D67EDB">
        <w:rPr>
          <w:rFonts w:ascii="Times New Roman" w:hAnsi="Times New Roman" w:cs="Times New Roman"/>
          <w:color w:val="000000" w:themeColor="text1"/>
          <w:sz w:val="24"/>
          <w:szCs w:val="24"/>
          <w:highlight w:val="yellow"/>
        </w:rPr>
        <w:t xml:space="preserve">by adopting a </w:t>
      </w:r>
      <w:r w:rsidR="00020F1B" w:rsidRPr="00D67EDB">
        <w:rPr>
          <w:rFonts w:ascii="Times New Roman" w:hAnsi="Times New Roman" w:cs="Times New Roman"/>
          <w:i/>
          <w:iCs/>
          <w:color w:val="000000" w:themeColor="text1"/>
          <w:sz w:val="24"/>
          <w:szCs w:val="24"/>
          <w:highlight w:val="yellow"/>
        </w:rPr>
        <w:t>Pact for Research and Innovation in Europe</w:t>
      </w:r>
      <w:r w:rsidR="00020F1B" w:rsidRPr="00D67EDB">
        <w:rPr>
          <w:rFonts w:ascii="Times New Roman" w:hAnsi="Times New Roman" w:cs="Times New Roman"/>
          <w:color w:val="000000" w:themeColor="text1"/>
          <w:sz w:val="24"/>
          <w:szCs w:val="24"/>
          <w:highlight w:val="yellow"/>
        </w:rPr>
        <w:t>.</w:t>
      </w:r>
      <w:r w:rsidR="00626841" w:rsidRPr="006340BE">
        <w:rPr>
          <w:rFonts w:ascii="Times New Roman" w:hAnsi="Times New Roman" w:cs="Times New Roman"/>
          <w:color w:val="000000" w:themeColor="text1"/>
          <w:sz w:val="24"/>
          <w:szCs w:val="24"/>
        </w:rPr>
        <w:t xml:space="preserve"> </w:t>
      </w:r>
    </w:p>
    <w:p w14:paraId="06B2DE1A" w14:textId="55821B55" w:rsidR="003D7685" w:rsidRPr="006340BE" w:rsidRDefault="00D738C2"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With the Pact, t</w:t>
      </w:r>
      <w:r w:rsidR="00E6273E" w:rsidRPr="006340BE">
        <w:rPr>
          <w:rFonts w:ascii="Times New Roman" w:hAnsi="Times New Roman" w:cs="Times New Roman"/>
          <w:color w:val="000000" w:themeColor="text1"/>
          <w:sz w:val="24"/>
          <w:szCs w:val="24"/>
        </w:rPr>
        <w:t>he</w:t>
      </w:r>
      <w:r w:rsidR="00E6273E" w:rsidRPr="006340BE">
        <w:rPr>
          <w:rFonts w:ascii="Times New Roman" w:hAnsi="Times New Roman"/>
          <w:color w:val="000000" w:themeColor="text1"/>
          <w:sz w:val="24"/>
        </w:rPr>
        <w:t xml:space="preserve"> </w:t>
      </w:r>
      <w:r w:rsidR="003D7685" w:rsidRPr="00D67EDB">
        <w:rPr>
          <w:rFonts w:ascii="Times New Roman" w:hAnsi="Times New Roman"/>
          <w:color w:val="000000" w:themeColor="text1"/>
          <w:sz w:val="24"/>
          <w:highlight w:val="yellow"/>
        </w:rPr>
        <w:t>governance process</w:t>
      </w:r>
      <w:r w:rsidR="00B83C67" w:rsidRPr="00D67EDB">
        <w:rPr>
          <w:rFonts w:ascii="Times New Roman" w:hAnsi="Times New Roman"/>
          <w:color w:val="000000" w:themeColor="text1"/>
          <w:sz w:val="24"/>
          <w:highlight w:val="yellow"/>
        </w:rPr>
        <w:t xml:space="preserve"> </w:t>
      </w:r>
      <w:r w:rsidR="008739C2" w:rsidRPr="00D67EDB">
        <w:rPr>
          <w:rFonts w:ascii="Times New Roman" w:hAnsi="Times New Roman"/>
          <w:color w:val="000000" w:themeColor="text1"/>
          <w:sz w:val="24"/>
          <w:highlight w:val="yellow"/>
        </w:rPr>
        <w:t xml:space="preserve">should </w:t>
      </w:r>
      <w:r w:rsidR="00626841" w:rsidRPr="00D67EDB">
        <w:rPr>
          <w:rFonts w:ascii="Times New Roman" w:hAnsi="Times New Roman"/>
          <w:color w:val="000000" w:themeColor="text1"/>
          <w:sz w:val="24"/>
          <w:highlight w:val="yellow"/>
        </w:rPr>
        <w:t xml:space="preserve">be made </w:t>
      </w:r>
      <w:r w:rsidR="00B83C67" w:rsidRPr="00D67EDB">
        <w:rPr>
          <w:rFonts w:ascii="Times New Roman" w:hAnsi="Times New Roman"/>
          <w:color w:val="000000" w:themeColor="text1"/>
          <w:sz w:val="24"/>
          <w:highlight w:val="yellow"/>
        </w:rPr>
        <w:t>more effective and impactful</w:t>
      </w:r>
      <w:r w:rsidR="00626841" w:rsidRPr="006340BE">
        <w:rPr>
          <w:rFonts w:ascii="Times New Roman" w:hAnsi="Times New Roman"/>
          <w:color w:val="000000" w:themeColor="text1"/>
          <w:sz w:val="24"/>
        </w:rPr>
        <w:t xml:space="preserve"> </w:t>
      </w:r>
      <w:r w:rsidR="00626841" w:rsidRPr="006340BE">
        <w:rPr>
          <w:rFonts w:ascii="Times New Roman" w:hAnsi="Times New Roman" w:cs="Times New Roman"/>
          <w:color w:val="000000" w:themeColor="text1"/>
          <w:sz w:val="24"/>
          <w:szCs w:val="24"/>
        </w:rPr>
        <w:t xml:space="preserve">with </w:t>
      </w:r>
      <w:r w:rsidR="00063A94" w:rsidRPr="006340BE">
        <w:rPr>
          <w:rFonts w:ascii="Times New Roman" w:hAnsi="Times New Roman" w:cs="Times New Roman"/>
          <w:color w:val="000000" w:themeColor="text1"/>
          <w:sz w:val="24"/>
          <w:szCs w:val="24"/>
        </w:rPr>
        <w:t>r</w:t>
      </w:r>
      <w:r w:rsidR="003D7685" w:rsidRPr="006340BE">
        <w:rPr>
          <w:rFonts w:ascii="Times New Roman" w:hAnsi="Times New Roman" w:cs="Times New Roman"/>
          <w:color w:val="000000" w:themeColor="text1"/>
          <w:sz w:val="24"/>
          <w:szCs w:val="24"/>
        </w:rPr>
        <w:t xml:space="preserve">egular political dialogue </w:t>
      </w:r>
      <w:r w:rsidR="00063A94" w:rsidRPr="006340BE">
        <w:rPr>
          <w:rFonts w:ascii="Times New Roman" w:hAnsi="Times New Roman" w:cs="Times New Roman"/>
          <w:color w:val="000000" w:themeColor="text1"/>
          <w:sz w:val="24"/>
          <w:szCs w:val="24"/>
        </w:rPr>
        <w:t>with</w:t>
      </w:r>
      <w:r w:rsidR="00626841" w:rsidRPr="006340BE">
        <w:rPr>
          <w:rFonts w:ascii="Times New Roman" w:hAnsi="Times New Roman" w:cs="Times New Roman"/>
          <w:color w:val="000000" w:themeColor="text1"/>
          <w:sz w:val="24"/>
          <w:szCs w:val="24"/>
        </w:rPr>
        <w:t xml:space="preserve"> M</w:t>
      </w:r>
      <w:r w:rsidR="00063A94" w:rsidRPr="006340BE">
        <w:rPr>
          <w:rFonts w:ascii="Times New Roman" w:hAnsi="Times New Roman" w:cs="Times New Roman"/>
          <w:color w:val="000000" w:themeColor="text1"/>
          <w:sz w:val="24"/>
          <w:szCs w:val="24"/>
        </w:rPr>
        <w:t xml:space="preserve">ember </w:t>
      </w:r>
      <w:r w:rsidR="00626841" w:rsidRPr="006340BE">
        <w:rPr>
          <w:rFonts w:ascii="Times New Roman" w:hAnsi="Times New Roman" w:cs="Times New Roman"/>
          <w:color w:val="000000" w:themeColor="text1"/>
          <w:sz w:val="24"/>
          <w:szCs w:val="24"/>
        </w:rPr>
        <w:t>S</w:t>
      </w:r>
      <w:r w:rsidR="00063A94" w:rsidRPr="006340BE">
        <w:rPr>
          <w:rFonts w:ascii="Times New Roman" w:hAnsi="Times New Roman" w:cs="Times New Roman"/>
          <w:color w:val="000000" w:themeColor="text1"/>
          <w:sz w:val="24"/>
          <w:szCs w:val="24"/>
        </w:rPr>
        <w:t>tates</w:t>
      </w:r>
      <w:r w:rsidR="00894246" w:rsidRPr="006340BE">
        <w:rPr>
          <w:rFonts w:ascii="Times New Roman" w:hAnsi="Times New Roman" w:cs="Times New Roman"/>
          <w:color w:val="000000" w:themeColor="text1"/>
          <w:sz w:val="24"/>
          <w:szCs w:val="24"/>
        </w:rPr>
        <w:t xml:space="preserve"> addressing</w:t>
      </w:r>
      <w:r w:rsidR="00063A94" w:rsidRPr="006340BE">
        <w:rPr>
          <w:rFonts w:ascii="Times New Roman" w:hAnsi="Times New Roman" w:cs="Times New Roman"/>
          <w:color w:val="000000" w:themeColor="text1"/>
          <w:sz w:val="24"/>
          <w:szCs w:val="24"/>
        </w:rPr>
        <w:t xml:space="preserve"> </w:t>
      </w:r>
      <w:r w:rsidR="003D7685" w:rsidRPr="006340BE">
        <w:rPr>
          <w:rFonts w:ascii="Times New Roman" w:hAnsi="Times New Roman" w:cs="Times New Roman"/>
          <w:color w:val="000000" w:themeColor="text1"/>
          <w:sz w:val="24"/>
          <w:szCs w:val="24"/>
        </w:rPr>
        <w:t>prioriti</w:t>
      </w:r>
      <w:r w:rsidR="00E6273E" w:rsidRPr="006340BE">
        <w:rPr>
          <w:rFonts w:ascii="Times New Roman" w:hAnsi="Times New Roman" w:cs="Times New Roman"/>
          <w:color w:val="000000" w:themeColor="text1"/>
          <w:sz w:val="24"/>
          <w:szCs w:val="24"/>
        </w:rPr>
        <w:t>es,</w:t>
      </w:r>
      <w:r w:rsidR="003D7685" w:rsidRPr="006340BE">
        <w:rPr>
          <w:rFonts w:ascii="Times New Roman" w:hAnsi="Times New Roman" w:cs="Times New Roman"/>
          <w:color w:val="000000" w:themeColor="text1"/>
          <w:sz w:val="24"/>
          <w:szCs w:val="24"/>
        </w:rPr>
        <w:t xml:space="preserve"> implementation</w:t>
      </w:r>
      <w:r w:rsidR="00E6273E" w:rsidRPr="006340BE">
        <w:rPr>
          <w:rFonts w:ascii="Times New Roman" w:hAnsi="Times New Roman" w:cs="Times New Roman"/>
          <w:color w:val="000000" w:themeColor="text1"/>
          <w:sz w:val="24"/>
          <w:szCs w:val="24"/>
        </w:rPr>
        <w:t xml:space="preserve"> strategies</w:t>
      </w:r>
      <w:r w:rsidR="00063A94" w:rsidRPr="006340BE">
        <w:rPr>
          <w:rFonts w:ascii="Times New Roman" w:hAnsi="Times New Roman" w:cs="Times New Roman"/>
          <w:color w:val="000000" w:themeColor="text1"/>
          <w:sz w:val="24"/>
          <w:szCs w:val="24"/>
        </w:rPr>
        <w:t xml:space="preserve"> and progress </w:t>
      </w:r>
      <w:r w:rsidR="00E6273E" w:rsidRPr="006340BE">
        <w:rPr>
          <w:rFonts w:ascii="Times New Roman" w:hAnsi="Times New Roman" w:cs="Times New Roman"/>
          <w:color w:val="000000" w:themeColor="text1"/>
          <w:sz w:val="24"/>
          <w:szCs w:val="24"/>
        </w:rPr>
        <w:t xml:space="preserve">monitoring </w:t>
      </w:r>
      <w:r w:rsidR="00063A94" w:rsidRPr="006340BE">
        <w:rPr>
          <w:rFonts w:ascii="Times New Roman" w:hAnsi="Times New Roman" w:cs="Times New Roman"/>
          <w:color w:val="000000" w:themeColor="text1"/>
          <w:sz w:val="24"/>
          <w:szCs w:val="24"/>
        </w:rPr>
        <w:t>towards the realisation of the set objectives</w:t>
      </w:r>
      <w:r w:rsidR="003D7685" w:rsidRPr="006340BE">
        <w:rPr>
          <w:rFonts w:ascii="Times New Roman" w:hAnsi="Times New Roman" w:cs="Times New Roman"/>
          <w:color w:val="000000" w:themeColor="text1"/>
          <w:sz w:val="24"/>
          <w:szCs w:val="24"/>
        </w:rPr>
        <w:t>.</w:t>
      </w:r>
      <w:r w:rsidR="00626841" w:rsidRPr="006340BE">
        <w:rPr>
          <w:rFonts w:ascii="Times New Roman" w:hAnsi="Times New Roman" w:cs="Times New Roman"/>
          <w:color w:val="000000" w:themeColor="text1"/>
          <w:sz w:val="24"/>
          <w:szCs w:val="24"/>
        </w:rPr>
        <w:t xml:space="preserve"> </w:t>
      </w:r>
    </w:p>
    <w:p w14:paraId="16FF3093" w14:textId="61DA4B44" w:rsidR="00B226D1" w:rsidRPr="006340BE" w:rsidRDefault="001D1BF8" w:rsidP="000E2C91">
      <w:pPr>
        <w:pStyle w:val="ListParagraph"/>
        <w:numPr>
          <w:ilvl w:val="1"/>
          <w:numId w:val="1"/>
        </w:numPr>
        <w:spacing w:before="240" w:after="0" w:line="240" w:lineRule="auto"/>
        <w:ind w:left="357" w:hanging="357"/>
        <w:contextualSpacing w:val="0"/>
        <w:jc w:val="both"/>
        <w:rPr>
          <w:rFonts w:ascii="Times New Roman" w:hAnsi="Times New Roman" w:cs="Times New Roman"/>
          <w:b/>
          <w:color w:val="000000" w:themeColor="text1"/>
          <w:sz w:val="24"/>
          <w:szCs w:val="24"/>
          <w:u w:val="single"/>
        </w:rPr>
      </w:pPr>
      <w:r w:rsidRPr="006340BE">
        <w:rPr>
          <w:rFonts w:ascii="Times New Roman" w:hAnsi="Times New Roman" w:cs="Times New Roman"/>
          <w:b/>
          <w:color w:val="000000" w:themeColor="text1"/>
          <w:sz w:val="24"/>
          <w:szCs w:val="24"/>
          <w:u w:val="single"/>
        </w:rPr>
        <w:t>Prioritising investments</w:t>
      </w:r>
      <w:r w:rsidR="0035342E" w:rsidRPr="006340BE">
        <w:rPr>
          <w:rFonts w:ascii="Times New Roman" w:hAnsi="Times New Roman" w:cs="Times New Roman"/>
          <w:b/>
          <w:color w:val="000000" w:themeColor="text1"/>
          <w:sz w:val="24"/>
          <w:szCs w:val="24"/>
          <w:u w:val="single"/>
        </w:rPr>
        <w:t xml:space="preserve"> and reforms</w:t>
      </w:r>
    </w:p>
    <w:p w14:paraId="56F73E2C" w14:textId="53E5E678" w:rsidR="009906A4" w:rsidRPr="006340BE" w:rsidRDefault="0036674A" w:rsidP="00F74968">
      <w:pPr>
        <w:spacing w:before="120" w:after="0" w:line="240" w:lineRule="auto"/>
        <w:jc w:val="both"/>
        <w:rPr>
          <w:rFonts w:ascii="Times New Roman" w:hAnsi="Times New Roman" w:cs="Times New Roman"/>
          <w:color w:val="000000" w:themeColor="text1"/>
          <w:sz w:val="24"/>
          <w:szCs w:val="24"/>
          <w:u w:val="single"/>
        </w:rPr>
      </w:pPr>
      <w:r w:rsidRPr="006340BE">
        <w:rPr>
          <w:rFonts w:ascii="Times New Roman" w:hAnsi="Times New Roman" w:cs="Times New Roman"/>
          <w:color w:val="000000" w:themeColor="text1"/>
          <w:sz w:val="24"/>
          <w:szCs w:val="24"/>
          <w:u w:val="single"/>
        </w:rPr>
        <w:t xml:space="preserve">Facilitating </w:t>
      </w:r>
      <w:r w:rsidR="009906A4" w:rsidRPr="006340BE">
        <w:rPr>
          <w:rFonts w:ascii="Times New Roman" w:hAnsi="Times New Roman" w:cs="Times New Roman"/>
          <w:color w:val="000000" w:themeColor="text1"/>
          <w:sz w:val="24"/>
          <w:szCs w:val="24"/>
          <w:u w:val="single"/>
        </w:rPr>
        <w:t>EU and national investment</w:t>
      </w:r>
      <w:r w:rsidR="00BF5F5F" w:rsidRPr="006340BE">
        <w:rPr>
          <w:rFonts w:ascii="Times New Roman" w:hAnsi="Times New Roman" w:cs="Times New Roman"/>
          <w:color w:val="000000" w:themeColor="text1"/>
          <w:sz w:val="24"/>
          <w:szCs w:val="24"/>
          <w:u w:val="single"/>
        </w:rPr>
        <w:t>s</w:t>
      </w:r>
      <w:r w:rsidR="00560FD8" w:rsidRPr="006340BE">
        <w:rPr>
          <w:rFonts w:ascii="Times New Roman" w:hAnsi="Times New Roman" w:cs="Times New Roman"/>
          <w:color w:val="000000" w:themeColor="text1"/>
          <w:sz w:val="24"/>
          <w:szCs w:val="24"/>
          <w:u w:val="single"/>
        </w:rPr>
        <w:t xml:space="preserve"> </w:t>
      </w:r>
      <w:r w:rsidR="0035342E" w:rsidRPr="006340BE">
        <w:rPr>
          <w:rFonts w:ascii="Times New Roman" w:hAnsi="Times New Roman" w:cs="Times New Roman"/>
          <w:color w:val="000000" w:themeColor="text1"/>
          <w:sz w:val="24"/>
          <w:szCs w:val="24"/>
          <w:u w:val="single"/>
        </w:rPr>
        <w:t xml:space="preserve">and reforms </w:t>
      </w:r>
      <w:r w:rsidRPr="006340BE">
        <w:rPr>
          <w:rFonts w:ascii="Times New Roman" w:hAnsi="Times New Roman" w:cs="Times New Roman"/>
          <w:color w:val="000000" w:themeColor="text1"/>
          <w:sz w:val="24"/>
          <w:szCs w:val="24"/>
          <w:u w:val="single"/>
        </w:rPr>
        <w:t xml:space="preserve">towards the </w:t>
      </w:r>
      <w:r w:rsidR="001D1BF8" w:rsidRPr="006340BE">
        <w:rPr>
          <w:rFonts w:ascii="Times New Roman" w:hAnsi="Times New Roman" w:cs="Times New Roman"/>
          <w:color w:val="000000" w:themeColor="text1"/>
          <w:sz w:val="24"/>
          <w:szCs w:val="24"/>
          <w:u w:val="single"/>
        </w:rPr>
        <w:t xml:space="preserve">EU’s priorities </w:t>
      </w:r>
    </w:p>
    <w:p w14:paraId="6618FA1B" w14:textId="12E69FD4" w:rsidR="00C05B71" w:rsidRPr="006340BE" w:rsidRDefault="00EE2AFD">
      <w:pPr>
        <w:autoSpaceDE w:val="0"/>
        <w:autoSpaceDN w:val="0"/>
        <w:adjustRightInd w:val="0"/>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The recovery from </w:t>
      </w:r>
      <w:r w:rsidR="00F301A5" w:rsidRPr="006340BE">
        <w:rPr>
          <w:rFonts w:ascii="Times New Roman" w:hAnsi="Times New Roman" w:cs="Times New Roman"/>
          <w:color w:val="000000" w:themeColor="text1"/>
          <w:sz w:val="24"/>
          <w:szCs w:val="24"/>
        </w:rPr>
        <w:t xml:space="preserve">the </w:t>
      </w:r>
      <w:r w:rsidRPr="006340BE">
        <w:rPr>
          <w:rFonts w:ascii="Times New Roman" w:hAnsi="Times New Roman" w:cs="Times New Roman"/>
          <w:color w:val="000000" w:themeColor="text1"/>
          <w:sz w:val="24"/>
          <w:szCs w:val="24"/>
        </w:rPr>
        <w:t>COVID</w:t>
      </w:r>
      <w:r w:rsidR="00A618F8" w:rsidRPr="006340BE">
        <w:rPr>
          <w:rFonts w:ascii="Times New Roman" w:hAnsi="Times New Roman" w:cs="Times New Roman"/>
          <w:color w:val="000000" w:themeColor="text1"/>
          <w:sz w:val="24"/>
          <w:szCs w:val="24"/>
        </w:rPr>
        <w:t>-</w:t>
      </w:r>
      <w:r w:rsidRPr="006340BE">
        <w:rPr>
          <w:rFonts w:ascii="Times New Roman" w:hAnsi="Times New Roman" w:cs="Times New Roman"/>
          <w:color w:val="000000" w:themeColor="text1"/>
          <w:sz w:val="24"/>
          <w:szCs w:val="24"/>
        </w:rPr>
        <w:t xml:space="preserve">19 </w:t>
      </w:r>
      <w:r w:rsidR="00522085" w:rsidRPr="006340BE">
        <w:rPr>
          <w:rFonts w:ascii="Times New Roman" w:hAnsi="Times New Roman" w:cs="Times New Roman"/>
          <w:color w:val="000000" w:themeColor="text1"/>
          <w:sz w:val="24"/>
          <w:szCs w:val="24"/>
        </w:rPr>
        <w:t xml:space="preserve">pandemic </w:t>
      </w:r>
      <w:r w:rsidRPr="006340BE">
        <w:rPr>
          <w:rFonts w:ascii="Times New Roman" w:hAnsi="Times New Roman" w:cs="Times New Roman"/>
          <w:color w:val="000000" w:themeColor="text1"/>
          <w:sz w:val="24"/>
          <w:szCs w:val="24"/>
        </w:rPr>
        <w:t xml:space="preserve">and the need to move towards </w:t>
      </w:r>
      <w:r w:rsidR="00522085" w:rsidRPr="006340BE">
        <w:rPr>
          <w:rFonts w:ascii="Times New Roman" w:hAnsi="Times New Roman" w:cs="Times New Roman"/>
          <w:color w:val="000000" w:themeColor="text1"/>
          <w:sz w:val="24"/>
          <w:szCs w:val="24"/>
        </w:rPr>
        <w:t xml:space="preserve">a </w:t>
      </w:r>
      <w:r w:rsidRPr="006340BE">
        <w:rPr>
          <w:rFonts w:ascii="Times New Roman" w:hAnsi="Times New Roman" w:cs="Times New Roman"/>
          <w:color w:val="000000" w:themeColor="text1"/>
          <w:sz w:val="24"/>
          <w:szCs w:val="24"/>
        </w:rPr>
        <w:t xml:space="preserve">more </w:t>
      </w:r>
      <w:r w:rsidR="00522085" w:rsidRPr="006340BE">
        <w:rPr>
          <w:rFonts w:ascii="Times New Roman" w:hAnsi="Times New Roman" w:cs="Times New Roman"/>
          <w:color w:val="000000" w:themeColor="text1"/>
          <w:sz w:val="24"/>
          <w:szCs w:val="24"/>
        </w:rPr>
        <w:t xml:space="preserve">competitive and </w:t>
      </w:r>
      <w:r w:rsidRPr="006340BE">
        <w:rPr>
          <w:rFonts w:ascii="Times New Roman" w:hAnsi="Times New Roman" w:cs="Times New Roman"/>
          <w:color w:val="000000" w:themeColor="text1"/>
          <w:sz w:val="24"/>
          <w:szCs w:val="24"/>
        </w:rPr>
        <w:t xml:space="preserve">sustainable </w:t>
      </w:r>
      <w:r w:rsidR="00522085" w:rsidRPr="006340BE">
        <w:rPr>
          <w:rFonts w:ascii="Times New Roman" w:hAnsi="Times New Roman" w:cs="Times New Roman"/>
          <w:color w:val="000000" w:themeColor="text1"/>
          <w:sz w:val="24"/>
          <w:szCs w:val="24"/>
        </w:rPr>
        <w:t xml:space="preserve">economy </w:t>
      </w:r>
      <w:r w:rsidRPr="006340BE">
        <w:rPr>
          <w:rFonts w:ascii="Times New Roman" w:hAnsi="Times New Roman" w:cs="Times New Roman"/>
          <w:color w:val="000000" w:themeColor="text1"/>
          <w:sz w:val="24"/>
          <w:szCs w:val="24"/>
        </w:rPr>
        <w:t xml:space="preserve">requires </w:t>
      </w:r>
      <w:r w:rsidR="00522085" w:rsidRPr="006340BE">
        <w:rPr>
          <w:rFonts w:ascii="Times New Roman" w:hAnsi="Times New Roman" w:cs="Times New Roman"/>
          <w:color w:val="000000" w:themeColor="text1"/>
          <w:sz w:val="24"/>
          <w:szCs w:val="24"/>
        </w:rPr>
        <w:t xml:space="preserve">a </w:t>
      </w:r>
      <w:r w:rsidR="00624402" w:rsidRPr="006340BE">
        <w:rPr>
          <w:rFonts w:ascii="Times New Roman" w:hAnsi="Times New Roman" w:cs="Times New Roman"/>
          <w:color w:val="000000" w:themeColor="text1"/>
          <w:sz w:val="24"/>
          <w:szCs w:val="24"/>
        </w:rPr>
        <w:t>better align</w:t>
      </w:r>
      <w:r w:rsidR="00522085" w:rsidRPr="006340BE">
        <w:rPr>
          <w:rFonts w:ascii="Times New Roman" w:hAnsi="Times New Roman" w:cs="Times New Roman"/>
          <w:color w:val="000000" w:themeColor="text1"/>
          <w:sz w:val="24"/>
          <w:szCs w:val="24"/>
        </w:rPr>
        <w:t xml:space="preserve">ment of </w:t>
      </w:r>
      <w:r w:rsidR="006B1FBC" w:rsidRPr="006340BE">
        <w:rPr>
          <w:rFonts w:ascii="Times New Roman" w:hAnsi="Times New Roman" w:cs="Times New Roman"/>
          <w:color w:val="000000" w:themeColor="text1"/>
          <w:sz w:val="24"/>
          <w:szCs w:val="24"/>
        </w:rPr>
        <w:t>R&amp;I investment</w:t>
      </w:r>
      <w:r w:rsidR="00057B07" w:rsidRPr="006340BE">
        <w:rPr>
          <w:rFonts w:ascii="Times New Roman" w:hAnsi="Times New Roman" w:cs="Times New Roman"/>
          <w:color w:val="000000" w:themeColor="text1"/>
          <w:sz w:val="24"/>
          <w:szCs w:val="24"/>
        </w:rPr>
        <w:t>s</w:t>
      </w:r>
      <w:r w:rsidR="006B1FBC" w:rsidRPr="006340BE">
        <w:rPr>
          <w:rFonts w:ascii="Times New Roman" w:hAnsi="Times New Roman" w:cs="Times New Roman"/>
          <w:color w:val="000000" w:themeColor="text1"/>
          <w:sz w:val="24"/>
          <w:szCs w:val="24"/>
        </w:rPr>
        <w:t xml:space="preserve"> </w:t>
      </w:r>
      <w:r w:rsidR="0035342E" w:rsidRPr="006340BE">
        <w:rPr>
          <w:rFonts w:ascii="Times New Roman" w:hAnsi="Times New Roman" w:cs="Times New Roman"/>
          <w:color w:val="000000" w:themeColor="text1"/>
          <w:sz w:val="24"/>
          <w:szCs w:val="24"/>
        </w:rPr>
        <w:t xml:space="preserve">and reforms </w:t>
      </w:r>
      <w:r w:rsidR="006B1FBC" w:rsidRPr="006340BE">
        <w:rPr>
          <w:rFonts w:ascii="Times New Roman" w:hAnsi="Times New Roman" w:cs="Times New Roman"/>
          <w:color w:val="000000" w:themeColor="text1"/>
          <w:sz w:val="24"/>
          <w:szCs w:val="24"/>
        </w:rPr>
        <w:t>at national and EU level</w:t>
      </w:r>
      <w:r w:rsidR="00C317DF" w:rsidRPr="006340BE">
        <w:rPr>
          <w:rFonts w:ascii="Times New Roman" w:hAnsi="Times New Roman" w:cs="Times New Roman"/>
          <w:color w:val="000000" w:themeColor="text1"/>
          <w:sz w:val="24"/>
          <w:szCs w:val="24"/>
        </w:rPr>
        <w:t xml:space="preserve"> </w:t>
      </w:r>
      <w:r w:rsidR="00C317DF" w:rsidRPr="006340BE">
        <w:rPr>
          <w:rFonts w:ascii="Times New Roman" w:hAnsi="Times New Roman" w:cs="Times New Roman"/>
          <w:bCs/>
          <w:color w:val="000000" w:themeColor="text1"/>
          <w:sz w:val="24"/>
          <w:szCs w:val="24"/>
        </w:rPr>
        <w:t xml:space="preserve">to accelerate the </w:t>
      </w:r>
      <w:r w:rsidR="00DD419F" w:rsidRPr="006340BE">
        <w:rPr>
          <w:rFonts w:ascii="Times New Roman" w:hAnsi="Times New Roman" w:cs="Times New Roman"/>
          <w:bCs/>
          <w:color w:val="000000" w:themeColor="text1"/>
          <w:sz w:val="24"/>
          <w:szCs w:val="24"/>
        </w:rPr>
        <w:t xml:space="preserve">green and </w:t>
      </w:r>
      <w:r w:rsidR="00C317DF" w:rsidRPr="006340BE">
        <w:rPr>
          <w:rFonts w:ascii="Times New Roman" w:hAnsi="Times New Roman" w:cs="Times New Roman"/>
          <w:bCs/>
          <w:color w:val="000000" w:themeColor="text1"/>
          <w:sz w:val="24"/>
          <w:szCs w:val="24"/>
        </w:rPr>
        <w:t>digital transformation of Europe’s society and economy</w:t>
      </w:r>
      <w:r w:rsidR="00C317DF" w:rsidRPr="006340BE">
        <w:rPr>
          <w:rFonts w:ascii="Times New Roman" w:hAnsi="Times New Roman" w:cs="Times New Roman"/>
          <w:color w:val="000000" w:themeColor="text1"/>
          <w:sz w:val="24"/>
          <w:szCs w:val="24"/>
        </w:rPr>
        <w:t>.</w:t>
      </w:r>
      <w:r w:rsidR="00C05B71" w:rsidRPr="006340BE">
        <w:rPr>
          <w:rFonts w:ascii="Times New Roman" w:hAnsi="Times New Roman" w:cs="Times New Roman"/>
          <w:color w:val="000000" w:themeColor="text1"/>
          <w:sz w:val="24"/>
          <w:szCs w:val="24"/>
        </w:rPr>
        <w:t xml:space="preserve"> </w:t>
      </w:r>
      <w:r w:rsidR="002443F6" w:rsidRPr="006340BE">
        <w:rPr>
          <w:rFonts w:ascii="Times New Roman" w:hAnsi="Times New Roman" w:cs="Times New Roman"/>
          <w:color w:val="000000" w:themeColor="text1"/>
          <w:sz w:val="24"/>
          <w:szCs w:val="24"/>
        </w:rPr>
        <w:t xml:space="preserve">This will help to deliver on </w:t>
      </w:r>
      <w:r w:rsidR="00A618F8" w:rsidRPr="006340BE">
        <w:rPr>
          <w:rFonts w:ascii="Times New Roman" w:hAnsi="Times New Roman" w:cs="Times New Roman"/>
          <w:color w:val="000000" w:themeColor="text1"/>
          <w:sz w:val="24"/>
          <w:szCs w:val="24"/>
        </w:rPr>
        <w:t xml:space="preserve">EU priority </w:t>
      </w:r>
      <w:r w:rsidR="002443F6" w:rsidRPr="006340BE">
        <w:rPr>
          <w:rFonts w:ascii="Times New Roman" w:hAnsi="Times New Roman" w:cs="Times New Roman"/>
          <w:color w:val="000000" w:themeColor="text1"/>
          <w:sz w:val="24"/>
          <w:szCs w:val="24"/>
        </w:rPr>
        <w:t xml:space="preserve">areas such as the </w:t>
      </w:r>
      <w:r w:rsidR="00092A79" w:rsidRPr="006340BE">
        <w:rPr>
          <w:rFonts w:ascii="Times New Roman" w:hAnsi="Times New Roman" w:cs="Times New Roman"/>
          <w:color w:val="000000" w:themeColor="text1"/>
          <w:sz w:val="24"/>
          <w:szCs w:val="24"/>
        </w:rPr>
        <w:t xml:space="preserve">clean energy transition, </w:t>
      </w:r>
      <w:r w:rsidR="002443F6" w:rsidRPr="006340BE">
        <w:rPr>
          <w:rFonts w:ascii="Times New Roman" w:hAnsi="Times New Roman" w:cs="Times New Roman"/>
          <w:color w:val="000000" w:themeColor="text1"/>
          <w:sz w:val="24"/>
          <w:szCs w:val="24"/>
        </w:rPr>
        <w:t xml:space="preserve">decarbonisation </w:t>
      </w:r>
      <w:r w:rsidR="00683E23" w:rsidRPr="006340BE">
        <w:rPr>
          <w:rFonts w:ascii="Times New Roman" w:hAnsi="Times New Roman" w:cs="Times New Roman"/>
          <w:color w:val="000000" w:themeColor="text1"/>
          <w:sz w:val="24"/>
          <w:szCs w:val="24"/>
        </w:rPr>
        <w:t xml:space="preserve">and modernisation </w:t>
      </w:r>
      <w:r w:rsidR="002443F6" w:rsidRPr="006340BE">
        <w:rPr>
          <w:rFonts w:ascii="Times New Roman" w:hAnsi="Times New Roman" w:cs="Times New Roman"/>
          <w:color w:val="000000" w:themeColor="text1"/>
          <w:sz w:val="24"/>
          <w:szCs w:val="24"/>
        </w:rPr>
        <w:t xml:space="preserve">of industry, </w:t>
      </w:r>
      <w:r w:rsidR="005D731F" w:rsidRPr="006340BE">
        <w:rPr>
          <w:rFonts w:ascii="Times New Roman" w:hAnsi="Times New Roman" w:cs="Times New Roman"/>
          <w:color w:val="000000" w:themeColor="text1"/>
          <w:sz w:val="24"/>
          <w:szCs w:val="24"/>
        </w:rPr>
        <w:t xml:space="preserve">smart and </w:t>
      </w:r>
      <w:r w:rsidR="002443F6" w:rsidRPr="006340BE">
        <w:rPr>
          <w:rFonts w:ascii="Times New Roman" w:hAnsi="Times New Roman" w:cs="Times New Roman"/>
          <w:color w:val="000000" w:themeColor="text1"/>
          <w:sz w:val="24"/>
          <w:szCs w:val="24"/>
        </w:rPr>
        <w:t>sustainable mobility and the circular economy.</w:t>
      </w:r>
      <w:r w:rsidR="00337E83" w:rsidRPr="006340BE">
        <w:rPr>
          <w:rFonts w:ascii="Times New Roman" w:hAnsi="Times New Roman" w:cs="Times New Roman"/>
          <w:color w:val="000000" w:themeColor="text1"/>
          <w:sz w:val="24"/>
          <w:szCs w:val="24"/>
        </w:rPr>
        <w:t xml:space="preserve"> </w:t>
      </w:r>
    </w:p>
    <w:p w14:paraId="673FD757" w14:textId="6BE870D2" w:rsidR="00B53AB8" w:rsidRPr="006340BE" w:rsidRDefault="006B1FBC">
      <w:pPr>
        <w:autoSpaceDE w:val="0"/>
        <w:autoSpaceDN w:val="0"/>
        <w:adjustRightInd w:val="0"/>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Financial support for constructing </w:t>
      </w:r>
      <w:r w:rsidR="00A618F8" w:rsidRPr="006340BE">
        <w:rPr>
          <w:rFonts w:ascii="Times New Roman" w:hAnsi="Times New Roman" w:cs="Times New Roman"/>
          <w:color w:val="000000" w:themeColor="text1"/>
          <w:sz w:val="24"/>
          <w:szCs w:val="24"/>
        </w:rPr>
        <w:t xml:space="preserve">the </w:t>
      </w:r>
      <w:r w:rsidRPr="006340BE">
        <w:rPr>
          <w:rFonts w:ascii="Times New Roman" w:hAnsi="Times New Roman" w:cs="Times New Roman"/>
          <w:color w:val="000000" w:themeColor="text1"/>
          <w:sz w:val="24"/>
          <w:szCs w:val="24"/>
        </w:rPr>
        <w:t xml:space="preserve">ERA through the </w:t>
      </w:r>
      <w:r w:rsidR="00057B07" w:rsidRPr="006340BE">
        <w:rPr>
          <w:rFonts w:ascii="Times New Roman" w:hAnsi="Times New Roman" w:cs="Times New Roman"/>
          <w:color w:val="000000" w:themeColor="text1"/>
          <w:sz w:val="24"/>
          <w:szCs w:val="24"/>
        </w:rPr>
        <w:t xml:space="preserve">EU </w:t>
      </w:r>
      <w:r w:rsidRPr="006340BE">
        <w:rPr>
          <w:rFonts w:ascii="Times New Roman" w:hAnsi="Times New Roman" w:cs="Times New Roman"/>
          <w:color w:val="000000" w:themeColor="text1"/>
          <w:sz w:val="24"/>
          <w:szCs w:val="24"/>
        </w:rPr>
        <w:t xml:space="preserve">Framework Programmes has </w:t>
      </w:r>
      <w:r w:rsidR="00830443" w:rsidRPr="006340BE">
        <w:rPr>
          <w:rFonts w:ascii="Times New Roman" w:hAnsi="Times New Roman" w:cs="Times New Roman"/>
          <w:color w:val="000000" w:themeColor="text1"/>
          <w:sz w:val="24"/>
          <w:szCs w:val="24"/>
        </w:rPr>
        <w:t>evolved</w:t>
      </w:r>
      <w:r w:rsidR="00522085" w:rsidRPr="006340BE">
        <w:rPr>
          <w:rFonts w:ascii="Times New Roman" w:hAnsi="Times New Roman" w:cs="Times New Roman"/>
          <w:color w:val="000000" w:themeColor="text1"/>
          <w:sz w:val="24"/>
          <w:szCs w:val="24"/>
        </w:rPr>
        <w:t xml:space="preserve"> over time</w:t>
      </w:r>
      <w:r w:rsidR="00522085" w:rsidRPr="006340BE">
        <w:rPr>
          <w:rStyle w:val="FootnoteReference"/>
          <w:rFonts w:ascii="Times New Roman" w:hAnsi="Times New Roman" w:cs="Times New Roman"/>
          <w:color w:val="000000" w:themeColor="text1"/>
          <w:sz w:val="24"/>
          <w:szCs w:val="24"/>
        </w:rPr>
        <w:t xml:space="preserve"> </w:t>
      </w:r>
      <w:r w:rsidRPr="006340BE">
        <w:rPr>
          <w:rStyle w:val="FootnoteReference"/>
          <w:rFonts w:ascii="Times New Roman" w:hAnsi="Times New Roman" w:cs="Times New Roman"/>
          <w:color w:val="000000" w:themeColor="text1"/>
          <w:sz w:val="24"/>
          <w:szCs w:val="24"/>
        </w:rPr>
        <w:footnoteReference w:id="23"/>
      </w:r>
      <w:r w:rsidR="00201462" w:rsidRPr="006340BE">
        <w:rPr>
          <w:rFonts w:ascii="Times New Roman" w:hAnsi="Times New Roman" w:cs="Times New Roman"/>
          <w:color w:val="000000" w:themeColor="text1"/>
          <w:sz w:val="24"/>
          <w:szCs w:val="24"/>
        </w:rPr>
        <w:t xml:space="preserve">. </w:t>
      </w:r>
      <w:r w:rsidR="00A618F8" w:rsidRPr="006340BE">
        <w:rPr>
          <w:rFonts w:ascii="Times New Roman" w:hAnsi="Times New Roman" w:cs="Times New Roman"/>
          <w:color w:val="000000" w:themeColor="text1"/>
          <w:sz w:val="24"/>
          <w:szCs w:val="24"/>
        </w:rPr>
        <w:t xml:space="preserve">The </w:t>
      </w:r>
      <w:r w:rsidRPr="006340BE">
        <w:rPr>
          <w:rFonts w:ascii="Times New Roman" w:hAnsi="Times New Roman" w:cs="Times New Roman"/>
          <w:color w:val="000000" w:themeColor="text1"/>
          <w:sz w:val="24"/>
          <w:szCs w:val="24"/>
        </w:rPr>
        <w:t xml:space="preserve">Horizon Europe </w:t>
      </w:r>
      <w:r w:rsidR="00A618F8" w:rsidRPr="006340BE">
        <w:rPr>
          <w:rFonts w:ascii="Times New Roman" w:hAnsi="Times New Roman" w:cs="Times New Roman"/>
          <w:color w:val="000000" w:themeColor="text1"/>
          <w:sz w:val="24"/>
          <w:szCs w:val="24"/>
        </w:rPr>
        <w:t xml:space="preserve">programme </w:t>
      </w:r>
      <w:r w:rsidR="00BC27D1" w:rsidRPr="006340BE">
        <w:rPr>
          <w:rFonts w:ascii="Times New Roman" w:hAnsi="Times New Roman" w:cs="Times New Roman"/>
          <w:color w:val="000000" w:themeColor="text1"/>
          <w:sz w:val="24"/>
          <w:szCs w:val="24"/>
        </w:rPr>
        <w:t xml:space="preserve">envisages </w:t>
      </w:r>
      <w:r w:rsidR="00201462" w:rsidRPr="006340BE">
        <w:rPr>
          <w:rFonts w:ascii="Times New Roman" w:hAnsi="Times New Roman" w:cs="Times New Roman"/>
          <w:color w:val="000000" w:themeColor="text1"/>
          <w:sz w:val="24"/>
          <w:szCs w:val="24"/>
        </w:rPr>
        <w:t>step</w:t>
      </w:r>
      <w:r w:rsidR="00BC27D1" w:rsidRPr="006340BE">
        <w:rPr>
          <w:rFonts w:ascii="Times New Roman" w:hAnsi="Times New Roman" w:cs="Times New Roman"/>
          <w:color w:val="000000" w:themeColor="text1"/>
          <w:sz w:val="24"/>
          <w:szCs w:val="24"/>
        </w:rPr>
        <w:t>ping</w:t>
      </w:r>
      <w:r w:rsidR="00201462" w:rsidRPr="006340BE">
        <w:rPr>
          <w:rFonts w:ascii="Times New Roman" w:hAnsi="Times New Roman" w:cs="Times New Roman"/>
          <w:color w:val="000000" w:themeColor="text1"/>
          <w:sz w:val="24"/>
          <w:szCs w:val="24"/>
        </w:rPr>
        <w:t xml:space="preserve"> up these efforts through </w:t>
      </w:r>
      <w:r w:rsidR="003F7EF9" w:rsidRPr="006340BE">
        <w:rPr>
          <w:rFonts w:ascii="Times New Roman" w:hAnsi="Times New Roman" w:cs="Times New Roman"/>
          <w:color w:val="000000" w:themeColor="text1"/>
          <w:sz w:val="24"/>
          <w:szCs w:val="24"/>
        </w:rPr>
        <w:t>robust and balanced R&amp;I investment</w:t>
      </w:r>
      <w:r w:rsidR="00522085" w:rsidRPr="006340BE">
        <w:rPr>
          <w:rFonts w:ascii="Times New Roman" w:hAnsi="Times New Roman" w:cs="Times New Roman"/>
          <w:color w:val="000000" w:themeColor="text1"/>
          <w:sz w:val="24"/>
          <w:szCs w:val="24"/>
        </w:rPr>
        <w:t>s</w:t>
      </w:r>
      <w:r w:rsidR="003F7EF9" w:rsidRPr="006340BE">
        <w:rPr>
          <w:rFonts w:ascii="Times New Roman" w:hAnsi="Times New Roman" w:cs="Times New Roman"/>
          <w:color w:val="000000" w:themeColor="text1"/>
          <w:sz w:val="24"/>
          <w:szCs w:val="24"/>
        </w:rPr>
        <w:t xml:space="preserve">. It </w:t>
      </w:r>
      <w:r w:rsidR="00655106" w:rsidRPr="006340BE">
        <w:rPr>
          <w:rFonts w:ascii="Times New Roman" w:hAnsi="Times New Roman" w:cs="Times New Roman"/>
          <w:color w:val="000000" w:themeColor="text1"/>
          <w:sz w:val="24"/>
          <w:szCs w:val="24"/>
        </w:rPr>
        <w:t>supports</w:t>
      </w:r>
      <w:r w:rsidR="00683E23" w:rsidRPr="006340BE">
        <w:rPr>
          <w:rFonts w:ascii="Times New Roman" w:hAnsi="Times New Roman" w:cs="Times New Roman"/>
          <w:color w:val="000000" w:themeColor="text1"/>
          <w:sz w:val="24"/>
          <w:szCs w:val="24"/>
        </w:rPr>
        <w:t xml:space="preserve"> researchers, industry, and citizens to </w:t>
      </w:r>
      <w:r w:rsidR="00BF5F5F" w:rsidRPr="006340BE">
        <w:rPr>
          <w:rFonts w:ascii="Times New Roman" w:hAnsi="Times New Roman" w:cs="Times New Roman"/>
          <w:color w:val="000000" w:themeColor="text1"/>
          <w:sz w:val="24"/>
          <w:szCs w:val="24"/>
        </w:rPr>
        <w:t xml:space="preserve">throughout the whole R&amp;I cycle. . </w:t>
      </w:r>
      <w:r w:rsidR="00683E23" w:rsidRPr="006340BE">
        <w:rPr>
          <w:rFonts w:ascii="Times New Roman" w:hAnsi="Times New Roman" w:cs="Times New Roman"/>
          <w:color w:val="000000" w:themeColor="text1"/>
          <w:sz w:val="24"/>
          <w:szCs w:val="24"/>
        </w:rPr>
        <w:t>The first pillar of the programme supports researchers to carry out</w:t>
      </w:r>
      <w:r w:rsidR="003F7EF9" w:rsidRPr="006340BE">
        <w:rPr>
          <w:rFonts w:ascii="Times New Roman" w:hAnsi="Times New Roman" w:cs="Times New Roman"/>
          <w:color w:val="000000" w:themeColor="text1"/>
          <w:sz w:val="24"/>
          <w:szCs w:val="24"/>
        </w:rPr>
        <w:t xml:space="preserve"> fundamental research</w:t>
      </w:r>
      <w:r w:rsidR="00683E23" w:rsidRPr="006340BE">
        <w:rPr>
          <w:rFonts w:ascii="Times New Roman" w:hAnsi="Times New Roman" w:cs="Times New Roman"/>
          <w:color w:val="000000" w:themeColor="text1"/>
          <w:sz w:val="24"/>
          <w:szCs w:val="24"/>
        </w:rPr>
        <w:t>. The second pillar focuses on</w:t>
      </w:r>
      <w:r w:rsidR="00A618F8" w:rsidRPr="006340BE">
        <w:rPr>
          <w:rFonts w:ascii="Times New Roman" w:hAnsi="Times New Roman" w:cs="Times New Roman"/>
          <w:color w:val="000000" w:themeColor="text1"/>
          <w:sz w:val="24"/>
          <w:szCs w:val="24"/>
        </w:rPr>
        <w:t xml:space="preserve"> </w:t>
      </w:r>
      <w:r w:rsidR="003F7EF9" w:rsidRPr="006340BE">
        <w:rPr>
          <w:rFonts w:ascii="Times New Roman" w:hAnsi="Times New Roman" w:cs="Times New Roman"/>
          <w:color w:val="000000" w:themeColor="text1"/>
          <w:sz w:val="24"/>
          <w:szCs w:val="24"/>
        </w:rPr>
        <w:t xml:space="preserve">collaboration </w:t>
      </w:r>
      <w:r w:rsidR="00683E23" w:rsidRPr="006340BE">
        <w:rPr>
          <w:rFonts w:ascii="Times New Roman" w:hAnsi="Times New Roman" w:cs="Times New Roman"/>
          <w:color w:val="000000" w:themeColor="text1"/>
          <w:sz w:val="24"/>
          <w:szCs w:val="24"/>
        </w:rPr>
        <w:t xml:space="preserve">between EU, industry and sometimes Member States to deliver research and innovation that has impact on the ground </w:t>
      </w:r>
      <w:r w:rsidR="00655106" w:rsidRPr="006340BE">
        <w:rPr>
          <w:rFonts w:ascii="Times New Roman" w:hAnsi="Times New Roman" w:cs="Times New Roman"/>
          <w:color w:val="000000" w:themeColor="text1"/>
          <w:sz w:val="24"/>
          <w:szCs w:val="24"/>
        </w:rPr>
        <w:t xml:space="preserve">in key policy areas from health, </w:t>
      </w:r>
      <w:r w:rsidR="004E368A" w:rsidRPr="004E368A">
        <w:rPr>
          <w:rFonts w:ascii="Times New Roman" w:hAnsi="Times New Roman" w:cs="Times New Roman"/>
          <w:color w:val="000000" w:themeColor="text1"/>
          <w:sz w:val="24"/>
          <w:szCs w:val="24"/>
        </w:rPr>
        <w:t xml:space="preserve">accessibility, </w:t>
      </w:r>
      <w:r w:rsidR="00655106" w:rsidRPr="006340BE">
        <w:rPr>
          <w:rFonts w:ascii="Times New Roman" w:hAnsi="Times New Roman" w:cs="Times New Roman"/>
          <w:color w:val="000000" w:themeColor="text1"/>
          <w:sz w:val="24"/>
          <w:szCs w:val="24"/>
        </w:rPr>
        <w:t>digital, industrial competitiveness</w:t>
      </w:r>
      <w:r w:rsidR="00522085" w:rsidRPr="006340BE">
        <w:rPr>
          <w:rFonts w:ascii="Times New Roman" w:hAnsi="Times New Roman" w:cs="Times New Roman"/>
          <w:color w:val="000000" w:themeColor="text1"/>
          <w:sz w:val="24"/>
          <w:szCs w:val="24"/>
        </w:rPr>
        <w:t>,</w:t>
      </w:r>
      <w:r w:rsidR="00655106" w:rsidRPr="006340BE">
        <w:rPr>
          <w:rFonts w:ascii="Times New Roman" w:hAnsi="Times New Roman" w:cs="Times New Roman"/>
          <w:color w:val="000000" w:themeColor="text1"/>
          <w:sz w:val="24"/>
          <w:szCs w:val="24"/>
        </w:rPr>
        <w:t xml:space="preserve"> to climate, energy, mobility, natural resources</w:t>
      </w:r>
      <w:r w:rsidR="00BC7A8D" w:rsidRPr="006340BE">
        <w:rPr>
          <w:rFonts w:ascii="Times New Roman" w:hAnsi="Times New Roman" w:cs="Times New Roman"/>
          <w:color w:val="000000" w:themeColor="text1"/>
          <w:sz w:val="24"/>
          <w:szCs w:val="24"/>
        </w:rPr>
        <w:t xml:space="preserve"> and</w:t>
      </w:r>
      <w:r w:rsidR="00655106" w:rsidRPr="006340BE">
        <w:rPr>
          <w:rFonts w:ascii="Times New Roman" w:hAnsi="Times New Roman" w:cs="Times New Roman"/>
          <w:color w:val="000000" w:themeColor="text1"/>
          <w:sz w:val="24"/>
          <w:szCs w:val="24"/>
        </w:rPr>
        <w:t xml:space="preserve"> </w:t>
      </w:r>
      <w:r w:rsidR="00115688">
        <w:rPr>
          <w:rFonts w:ascii="Times New Roman" w:hAnsi="Times New Roman" w:cs="Times New Roman"/>
          <w:color w:val="000000" w:themeColor="text1"/>
          <w:sz w:val="24"/>
          <w:szCs w:val="24"/>
        </w:rPr>
        <w:t>food systems</w:t>
      </w:r>
      <w:r w:rsidR="00655106" w:rsidRPr="006340BE">
        <w:rPr>
          <w:rFonts w:ascii="Times New Roman" w:hAnsi="Times New Roman" w:cs="Times New Roman"/>
          <w:color w:val="000000" w:themeColor="text1"/>
          <w:sz w:val="24"/>
          <w:szCs w:val="24"/>
        </w:rPr>
        <w:t>.</w:t>
      </w:r>
      <w:r w:rsidR="00683E23" w:rsidRPr="006340BE">
        <w:rPr>
          <w:rFonts w:ascii="Times New Roman" w:hAnsi="Times New Roman" w:cs="Times New Roman"/>
          <w:color w:val="000000" w:themeColor="text1"/>
          <w:sz w:val="24"/>
          <w:szCs w:val="24"/>
        </w:rPr>
        <w:t xml:space="preserve"> Essential for this are joint strategic agendas with Member States and industry through a streamlined set of “R&amp;I Partnerships”.  Horizon Europe proposes also</w:t>
      </w:r>
      <w:r w:rsidR="003B19FE">
        <w:rPr>
          <w:rFonts w:ascii="Times New Roman" w:hAnsi="Times New Roman" w:cs="Times New Roman"/>
          <w:color w:val="000000" w:themeColor="text1"/>
          <w:sz w:val="24"/>
          <w:szCs w:val="24"/>
        </w:rPr>
        <w:t xml:space="preserve"> </w:t>
      </w:r>
      <w:r w:rsidR="00655106" w:rsidRPr="006340BE">
        <w:rPr>
          <w:rFonts w:ascii="Times New Roman" w:hAnsi="Times New Roman" w:cs="Times New Roman"/>
          <w:color w:val="000000" w:themeColor="text1"/>
          <w:sz w:val="24"/>
          <w:szCs w:val="24"/>
        </w:rPr>
        <w:t xml:space="preserve">new </w:t>
      </w:r>
      <w:r w:rsidR="00683E23" w:rsidRPr="006340BE">
        <w:rPr>
          <w:rFonts w:ascii="Times New Roman" w:hAnsi="Times New Roman" w:cs="Times New Roman"/>
          <w:color w:val="000000" w:themeColor="text1"/>
          <w:sz w:val="24"/>
          <w:szCs w:val="24"/>
        </w:rPr>
        <w:t xml:space="preserve">forms of collaboration, </w:t>
      </w:r>
      <w:r w:rsidR="00655106" w:rsidRPr="006340BE">
        <w:rPr>
          <w:rFonts w:ascii="Times New Roman" w:hAnsi="Times New Roman" w:cs="Times New Roman"/>
          <w:color w:val="000000" w:themeColor="text1"/>
          <w:sz w:val="24"/>
          <w:szCs w:val="24"/>
        </w:rPr>
        <w:t>such as the</w:t>
      </w:r>
      <w:r w:rsidR="00E37277" w:rsidRPr="006340BE">
        <w:rPr>
          <w:rFonts w:ascii="Times New Roman" w:hAnsi="Times New Roman" w:cs="Times New Roman"/>
          <w:color w:val="000000" w:themeColor="text1"/>
          <w:sz w:val="24"/>
          <w:szCs w:val="24"/>
        </w:rPr>
        <w:t xml:space="preserve"> future </w:t>
      </w:r>
      <w:r w:rsidR="00655106" w:rsidRPr="006340BE">
        <w:rPr>
          <w:rFonts w:ascii="Times New Roman" w:hAnsi="Times New Roman" w:cs="Times New Roman"/>
          <w:color w:val="000000" w:themeColor="text1"/>
          <w:sz w:val="24"/>
          <w:szCs w:val="24"/>
        </w:rPr>
        <w:t>“</w:t>
      </w:r>
      <w:r w:rsidR="003F7EF9" w:rsidRPr="006340BE">
        <w:rPr>
          <w:rFonts w:ascii="Times New Roman" w:hAnsi="Times New Roman" w:cs="Times New Roman"/>
          <w:color w:val="000000" w:themeColor="text1"/>
          <w:sz w:val="24"/>
          <w:szCs w:val="24"/>
        </w:rPr>
        <w:t>R&amp;I M</w:t>
      </w:r>
      <w:r w:rsidRPr="006340BE">
        <w:rPr>
          <w:rFonts w:ascii="Times New Roman" w:hAnsi="Times New Roman" w:cs="Times New Roman"/>
          <w:color w:val="000000" w:themeColor="text1"/>
          <w:sz w:val="24"/>
          <w:szCs w:val="24"/>
        </w:rPr>
        <w:t>issions</w:t>
      </w:r>
      <w:r w:rsidR="00924F60" w:rsidRPr="006340BE">
        <w:rPr>
          <w:rStyle w:val="FootnoteReference"/>
          <w:rFonts w:ascii="Times New Roman" w:hAnsi="Times New Roman" w:cs="Times New Roman"/>
          <w:color w:val="000000" w:themeColor="text1"/>
          <w:sz w:val="24"/>
          <w:szCs w:val="24"/>
        </w:rPr>
        <w:footnoteReference w:id="24"/>
      </w:r>
      <w:r w:rsidR="00683E23" w:rsidRPr="006340BE">
        <w:rPr>
          <w:rFonts w:ascii="Times New Roman" w:hAnsi="Times New Roman" w:cs="Times New Roman"/>
          <w:color w:val="000000" w:themeColor="text1"/>
          <w:sz w:val="24"/>
          <w:szCs w:val="24"/>
        </w:rPr>
        <w:t xml:space="preserve">”, which would involve citizens in wide projects, such as plastic in oceans or </w:t>
      </w:r>
      <w:r w:rsidR="00683E23" w:rsidRPr="006340BE">
        <w:rPr>
          <w:rFonts w:ascii="Times New Roman" w:hAnsi="Times New Roman" w:cs="Times New Roman"/>
          <w:color w:val="000000" w:themeColor="text1"/>
          <w:sz w:val="24"/>
          <w:szCs w:val="24"/>
        </w:rPr>
        <w:lastRenderedPageBreak/>
        <w:t xml:space="preserve">fighting cancer. Finally, the third pillar focuses </w:t>
      </w:r>
      <w:r w:rsidR="00793033">
        <w:rPr>
          <w:rFonts w:ascii="Times New Roman" w:hAnsi="Times New Roman" w:cs="Times New Roman"/>
          <w:color w:val="000000" w:themeColor="text1"/>
          <w:sz w:val="24"/>
          <w:szCs w:val="24"/>
        </w:rPr>
        <w:t xml:space="preserve">on </w:t>
      </w:r>
      <w:r w:rsidR="00BF5F5F" w:rsidRPr="006340BE">
        <w:rPr>
          <w:rFonts w:ascii="Times New Roman" w:hAnsi="Times New Roman" w:cs="Times New Roman"/>
          <w:color w:val="000000" w:themeColor="text1"/>
          <w:sz w:val="24"/>
          <w:szCs w:val="24"/>
        </w:rPr>
        <w:t>breakthrough and market-creating innovation</w:t>
      </w:r>
      <w:r w:rsidR="00683E23" w:rsidRPr="006340BE">
        <w:rPr>
          <w:rFonts w:ascii="Times New Roman" w:hAnsi="Times New Roman" w:cs="Times New Roman"/>
          <w:color w:val="000000" w:themeColor="text1"/>
          <w:sz w:val="24"/>
          <w:szCs w:val="24"/>
        </w:rPr>
        <w:t>. T</w:t>
      </w:r>
      <w:r w:rsidR="00522085" w:rsidRPr="006340BE">
        <w:rPr>
          <w:rFonts w:ascii="Times New Roman" w:hAnsi="Times New Roman" w:cs="Times New Roman"/>
          <w:color w:val="000000" w:themeColor="text1"/>
          <w:sz w:val="24"/>
          <w:szCs w:val="24"/>
        </w:rPr>
        <w:t>he</w:t>
      </w:r>
      <w:r w:rsidRPr="006340BE">
        <w:rPr>
          <w:rFonts w:ascii="Times New Roman" w:hAnsi="Times New Roman" w:cs="Times New Roman"/>
          <w:color w:val="000000" w:themeColor="text1"/>
          <w:sz w:val="24"/>
          <w:szCs w:val="24"/>
        </w:rPr>
        <w:t xml:space="preserve"> European Innovation Council (EIC</w:t>
      </w:r>
      <w:r w:rsidR="00894246" w:rsidRPr="006340BE">
        <w:rPr>
          <w:rFonts w:ascii="Times New Roman" w:hAnsi="Times New Roman" w:cs="Times New Roman"/>
          <w:color w:val="000000" w:themeColor="text1"/>
          <w:sz w:val="24"/>
          <w:szCs w:val="24"/>
        </w:rPr>
        <w:t xml:space="preserve">) </w:t>
      </w:r>
      <w:r w:rsidR="00F301A5" w:rsidRPr="006340BE">
        <w:rPr>
          <w:rFonts w:ascii="Times New Roman" w:hAnsi="Times New Roman" w:cs="Times New Roman"/>
          <w:color w:val="000000" w:themeColor="text1"/>
          <w:sz w:val="24"/>
          <w:szCs w:val="24"/>
        </w:rPr>
        <w:t xml:space="preserve">and the Knowledge and Innovation Communities (KICs) run by the European Institute of Innovation and Technology (EIT) </w:t>
      </w:r>
      <w:r w:rsidR="00894246" w:rsidRPr="006340BE">
        <w:rPr>
          <w:rFonts w:ascii="Times New Roman" w:hAnsi="Times New Roman" w:cs="Times New Roman"/>
          <w:color w:val="000000" w:themeColor="text1"/>
          <w:sz w:val="24"/>
          <w:szCs w:val="24"/>
        </w:rPr>
        <w:t>will support game-changing innovations by EU start-ups and SMEs</w:t>
      </w:r>
      <w:r w:rsidR="00000CFD" w:rsidRPr="006340BE">
        <w:rPr>
          <w:rFonts w:ascii="Times New Roman" w:hAnsi="Times New Roman" w:cs="Times New Roman"/>
          <w:color w:val="000000" w:themeColor="text1"/>
          <w:sz w:val="24"/>
          <w:szCs w:val="24"/>
        </w:rPr>
        <w:t>, including providing regional focus</w:t>
      </w:r>
      <w:r w:rsidR="00683E23" w:rsidRPr="006340BE">
        <w:rPr>
          <w:rFonts w:ascii="Times New Roman" w:hAnsi="Times New Roman" w:cs="Times New Roman"/>
          <w:color w:val="000000" w:themeColor="text1"/>
          <w:sz w:val="24"/>
          <w:szCs w:val="24"/>
        </w:rPr>
        <w:t xml:space="preserve">. </w:t>
      </w:r>
      <w:r w:rsidR="00FC4B87" w:rsidRPr="006340BE">
        <w:rPr>
          <w:rFonts w:ascii="Times New Roman" w:hAnsi="Times New Roman" w:cs="Times New Roman"/>
          <w:color w:val="000000" w:themeColor="text1"/>
          <w:sz w:val="24"/>
          <w:szCs w:val="24"/>
        </w:rPr>
        <w:t>The</w:t>
      </w:r>
      <w:r w:rsidR="00683E23" w:rsidRPr="006340BE">
        <w:rPr>
          <w:rFonts w:ascii="Times New Roman" w:hAnsi="Times New Roman" w:cs="Times New Roman"/>
          <w:color w:val="000000" w:themeColor="text1"/>
          <w:sz w:val="24"/>
          <w:szCs w:val="24"/>
        </w:rPr>
        <w:t xml:space="preserve"> Horizon Europe Programme aims to be ambitious when it comes to green and digital transitions</w:t>
      </w:r>
      <w:r w:rsidR="00C870D3">
        <w:rPr>
          <w:rFonts w:ascii="Times New Roman" w:hAnsi="Times New Roman" w:cs="Times New Roman"/>
          <w:color w:val="000000" w:themeColor="text1"/>
          <w:sz w:val="24"/>
          <w:szCs w:val="24"/>
        </w:rPr>
        <w:t xml:space="preserve">. </w:t>
      </w:r>
      <w:r w:rsidR="00683E23" w:rsidRPr="006340BE">
        <w:rPr>
          <w:rFonts w:ascii="Times New Roman" w:hAnsi="Times New Roman" w:cs="Times New Roman"/>
          <w:color w:val="000000" w:themeColor="text1"/>
          <w:sz w:val="24"/>
          <w:szCs w:val="24"/>
        </w:rPr>
        <w:t>The</w:t>
      </w:r>
      <w:r w:rsidR="00FC4B87" w:rsidRPr="006340BE">
        <w:rPr>
          <w:rFonts w:ascii="Times New Roman" w:hAnsi="Times New Roman" w:cs="Times New Roman"/>
          <w:color w:val="000000" w:themeColor="text1"/>
          <w:sz w:val="24"/>
          <w:szCs w:val="24"/>
        </w:rPr>
        <w:t xml:space="preserve"> Commission proposed that </w:t>
      </w:r>
      <w:r w:rsidR="00C317DF" w:rsidRPr="006340BE">
        <w:rPr>
          <w:rFonts w:ascii="Times New Roman" w:hAnsi="Times New Roman" w:cs="Times New Roman"/>
          <w:color w:val="000000" w:themeColor="text1"/>
          <w:sz w:val="24"/>
          <w:szCs w:val="24"/>
        </w:rPr>
        <w:t>Horizon Europe includes a 35% funding target for climate change</w:t>
      </w:r>
      <w:r w:rsidR="00F301A5" w:rsidRPr="006340BE">
        <w:rPr>
          <w:rFonts w:ascii="Times New Roman" w:hAnsi="Times New Roman" w:cs="Times New Roman"/>
          <w:color w:val="000000" w:themeColor="text1"/>
          <w:sz w:val="24"/>
          <w:szCs w:val="24"/>
        </w:rPr>
        <w:t xml:space="preserve">, </w:t>
      </w:r>
      <w:r w:rsidR="00FC4B87" w:rsidRPr="006340BE">
        <w:rPr>
          <w:rFonts w:ascii="Times New Roman" w:hAnsi="Times New Roman" w:cs="Times New Roman"/>
          <w:color w:val="000000" w:themeColor="text1"/>
          <w:sz w:val="24"/>
          <w:szCs w:val="24"/>
        </w:rPr>
        <w:t xml:space="preserve">and </w:t>
      </w:r>
      <w:r w:rsidR="00683E23" w:rsidRPr="006340BE">
        <w:rPr>
          <w:rFonts w:ascii="Times New Roman" w:hAnsi="Times New Roman" w:cs="Times New Roman"/>
          <w:color w:val="000000" w:themeColor="text1"/>
          <w:sz w:val="24"/>
          <w:szCs w:val="24"/>
        </w:rPr>
        <w:t xml:space="preserve">that </w:t>
      </w:r>
      <w:r w:rsidR="00FC4B87" w:rsidRPr="006340BE">
        <w:rPr>
          <w:rFonts w:ascii="Times New Roman" w:hAnsi="Times New Roman" w:cs="Times New Roman"/>
          <w:color w:val="000000" w:themeColor="text1"/>
          <w:sz w:val="24"/>
          <w:szCs w:val="24"/>
        </w:rPr>
        <w:t>there is a substantial increase in investment in core digital technologies</w:t>
      </w:r>
      <w:r w:rsidR="00C317DF" w:rsidRPr="006340BE">
        <w:rPr>
          <w:rFonts w:ascii="Times New Roman" w:hAnsi="Times New Roman" w:cs="Times New Roman"/>
          <w:color w:val="000000" w:themeColor="text1"/>
          <w:sz w:val="24"/>
          <w:szCs w:val="24"/>
        </w:rPr>
        <w:t>.</w:t>
      </w:r>
      <w:r w:rsidR="00C870D3">
        <w:rPr>
          <w:rFonts w:ascii="Times New Roman" w:hAnsi="Times New Roman" w:cs="Times New Roman"/>
          <w:color w:val="000000" w:themeColor="text1"/>
          <w:sz w:val="24"/>
          <w:szCs w:val="24"/>
        </w:rPr>
        <w:t xml:space="preserve"> Member States should consider replicating this ambition for green and digital investment in their national programmes.</w:t>
      </w:r>
    </w:p>
    <w:p w14:paraId="78FF0921" w14:textId="0964FBF9" w:rsidR="00657825" w:rsidRPr="006340BE" w:rsidRDefault="001650B4">
      <w:pPr>
        <w:autoSpaceDE w:val="0"/>
        <w:autoSpaceDN w:val="0"/>
        <w:adjustRightInd w:val="0"/>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However, Horizon Europe </w:t>
      </w:r>
      <w:r w:rsidR="00E911E3" w:rsidRPr="006340BE">
        <w:rPr>
          <w:rFonts w:ascii="Times New Roman" w:hAnsi="Times New Roman" w:cs="Times New Roman"/>
          <w:color w:val="000000" w:themeColor="text1"/>
          <w:sz w:val="24"/>
          <w:szCs w:val="24"/>
        </w:rPr>
        <w:t xml:space="preserve">and other </w:t>
      </w:r>
      <w:r w:rsidR="00426D1A" w:rsidRPr="006340BE">
        <w:rPr>
          <w:rFonts w:ascii="Times New Roman" w:hAnsi="Times New Roman" w:cs="Times New Roman"/>
          <w:color w:val="000000" w:themeColor="text1"/>
          <w:sz w:val="24"/>
          <w:szCs w:val="24"/>
        </w:rPr>
        <w:t>relevant</w:t>
      </w:r>
      <w:r w:rsidR="00E911E3" w:rsidRPr="006340BE">
        <w:rPr>
          <w:rFonts w:ascii="Times New Roman" w:hAnsi="Times New Roman" w:cs="Times New Roman"/>
          <w:color w:val="000000" w:themeColor="text1"/>
          <w:sz w:val="24"/>
          <w:szCs w:val="24"/>
        </w:rPr>
        <w:t xml:space="preserve"> </w:t>
      </w:r>
      <w:r w:rsidR="00683E23" w:rsidRPr="006340BE">
        <w:rPr>
          <w:rFonts w:ascii="Times New Roman" w:hAnsi="Times New Roman" w:cs="Times New Roman"/>
          <w:color w:val="000000" w:themeColor="text1"/>
          <w:sz w:val="24"/>
          <w:szCs w:val="24"/>
        </w:rPr>
        <w:t xml:space="preserve">programmes </w:t>
      </w:r>
      <w:r w:rsidR="00E911E3" w:rsidRPr="006340BE">
        <w:rPr>
          <w:rFonts w:ascii="Times New Roman" w:hAnsi="Times New Roman" w:cs="Times New Roman"/>
          <w:color w:val="000000" w:themeColor="text1"/>
          <w:sz w:val="24"/>
          <w:szCs w:val="24"/>
        </w:rPr>
        <w:t xml:space="preserve">under the EU budget </w:t>
      </w:r>
      <w:r w:rsidRPr="006340BE">
        <w:rPr>
          <w:rFonts w:ascii="Times New Roman" w:hAnsi="Times New Roman" w:cs="Times New Roman"/>
          <w:color w:val="000000" w:themeColor="text1"/>
          <w:sz w:val="24"/>
          <w:szCs w:val="24"/>
        </w:rPr>
        <w:t>alone</w:t>
      </w:r>
      <w:r w:rsidR="00683E23" w:rsidRPr="006340BE">
        <w:rPr>
          <w:rFonts w:ascii="Times New Roman" w:hAnsi="Times New Roman" w:cs="Times New Roman"/>
          <w:color w:val="000000" w:themeColor="text1"/>
          <w:sz w:val="24"/>
          <w:szCs w:val="24"/>
        </w:rPr>
        <w:t>, such as Cohesion Policy or Next Generation EU,</w:t>
      </w:r>
      <w:r w:rsidRPr="006340BE">
        <w:rPr>
          <w:rFonts w:ascii="Times New Roman" w:hAnsi="Times New Roman" w:cs="Times New Roman"/>
          <w:color w:val="000000" w:themeColor="text1"/>
          <w:sz w:val="24"/>
          <w:szCs w:val="24"/>
        </w:rPr>
        <w:t xml:space="preserve"> w</w:t>
      </w:r>
      <w:r w:rsidR="008072BB" w:rsidRPr="006340BE">
        <w:rPr>
          <w:rFonts w:ascii="Times New Roman" w:hAnsi="Times New Roman" w:cs="Times New Roman"/>
          <w:color w:val="000000" w:themeColor="text1"/>
          <w:sz w:val="24"/>
          <w:szCs w:val="24"/>
        </w:rPr>
        <w:t>ould</w:t>
      </w:r>
      <w:r w:rsidRPr="006340BE">
        <w:rPr>
          <w:rFonts w:ascii="Times New Roman" w:hAnsi="Times New Roman" w:cs="Times New Roman"/>
          <w:color w:val="000000" w:themeColor="text1"/>
          <w:sz w:val="24"/>
          <w:szCs w:val="24"/>
        </w:rPr>
        <w:t xml:space="preserve"> not be </w:t>
      </w:r>
      <w:r w:rsidR="008072BB" w:rsidRPr="006340BE">
        <w:rPr>
          <w:rFonts w:ascii="Times New Roman" w:hAnsi="Times New Roman" w:cs="Times New Roman"/>
          <w:color w:val="000000" w:themeColor="text1"/>
          <w:sz w:val="24"/>
          <w:szCs w:val="24"/>
        </w:rPr>
        <w:t xml:space="preserve">enough </w:t>
      </w:r>
      <w:r w:rsidRPr="006340BE">
        <w:rPr>
          <w:rFonts w:ascii="Times New Roman" w:hAnsi="Times New Roman" w:cs="Times New Roman"/>
          <w:color w:val="000000" w:themeColor="text1"/>
          <w:sz w:val="24"/>
          <w:szCs w:val="24"/>
        </w:rPr>
        <w:t xml:space="preserve">to fund the R&amp;I needed for the </w:t>
      </w:r>
      <w:r w:rsidR="00EF395D" w:rsidRPr="006340BE">
        <w:rPr>
          <w:rFonts w:ascii="Times New Roman" w:hAnsi="Times New Roman" w:cs="Times New Roman"/>
          <w:color w:val="000000" w:themeColor="text1"/>
          <w:sz w:val="24"/>
          <w:szCs w:val="24"/>
        </w:rPr>
        <w:t>green and digital transitions</w:t>
      </w:r>
      <w:r w:rsidR="00EC7033" w:rsidRPr="006340BE">
        <w:rPr>
          <w:rFonts w:ascii="Times New Roman" w:hAnsi="Times New Roman" w:cs="Times New Roman"/>
          <w:color w:val="000000" w:themeColor="text1"/>
          <w:sz w:val="24"/>
          <w:szCs w:val="24"/>
        </w:rPr>
        <w:t>.</w:t>
      </w:r>
      <w:r w:rsidR="001C7174" w:rsidRPr="006340BE">
        <w:rPr>
          <w:rFonts w:ascii="Times New Roman" w:hAnsi="Times New Roman" w:cs="Times New Roman"/>
          <w:color w:val="000000" w:themeColor="text1"/>
          <w:sz w:val="24"/>
          <w:szCs w:val="24"/>
        </w:rPr>
        <w:t xml:space="preserve"> </w:t>
      </w:r>
      <w:r w:rsidR="00683E23" w:rsidRPr="006340BE">
        <w:rPr>
          <w:rFonts w:ascii="Times New Roman" w:hAnsi="Times New Roman" w:cs="Times New Roman"/>
          <w:color w:val="000000" w:themeColor="text1"/>
          <w:sz w:val="24"/>
          <w:szCs w:val="24"/>
        </w:rPr>
        <w:t>In order to bring about a real positive change, this must be complemented by i</w:t>
      </w:r>
      <w:r w:rsidR="00EC7033" w:rsidRPr="006340BE">
        <w:rPr>
          <w:rFonts w:ascii="Times New Roman" w:hAnsi="Times New Roman" w:cs="Times New Roman"/>
          <w:color w:val="000000" w:themeColor="text1"/>
          <w:sz w:val="24"/>
          <w:szCs w:val="24"/>
        </w:rPr>
        <w:t xml:space="preserve">nvestments </w:t>
      </w:r>
      <w:r w:rsidR="001C7174" w:rsidRPr="006340BE">
        <w:rPr>
          <w:rFonts w:ascii="Times New Roman" w:hAnsi="Times New Roman" w:cs="Times New Roman"/>
          <w:color w:val="000000" w:themeColor="text1"/>
          <w:sz w:val="24"/>
          <w:szCs w:val="24"/>
        </w:rPr>
        <w:t>from Member States</w:t>
      </w:r>
      <w:r w:rsidR="00683E23" w:rsidRPr="006340BE">
        <w:rPr>
          <w:rFonts w:ascii="Times New Roman" w:hAnsi="Times New Roman" w:cs="Times New Roman"/>
          <w:color w:val="000000" w:themeColor="text1"/>
          <w:sz w:val="24"/>
          <w:szCs w:val="24"/>
        </w:rPr>
        <w:t>. The</w:t>
      </w:r>
      <w:r w:rsidR="004C4F0E" w:rsidRPr="006340BE">
        <w:rPr>
          <w:rFonts w:ascii="Times New Roman" w:hAnsi="Times New Roman" w:cs="Times New Roman"/>
          <w:color w:val="000000" w:themeColor="text1"/>
          <w:sz w:val="24"/>
          <w:szCs w:val="24"/>
        </w:rPr>
        <w:t>se efforts combined should crowd</w:t>
      </w:r>
      <w:r w:rsidR="00683E23" w:rsidRPr="006340BE">
        <w:rPr>
          <w:rFonts w:ascii="Times New Roman" w:hAnsi="Times New Roman" w:cs="Times New Roman"/>
          <w:color w:val="000000" w:themeColor="text1"/>
          <w:sz w:val="24"/>
          <w:szCs w:val="24"/>
        </w:rPr>
        <w:t xml:space="preserve"> in</w:t>
      </w:r>
      <w:r w:rsidR="00EC7033" w:rsidRPr="006340BE">
        <w:rPr>
          <w:rFonts w:ascii="Times New Roman" w:hAnsi="Times New Roman" w:cs="Times New Roman"/>
          <w:color w:val="000000" w:themeColor="text1"/>
          <w:sz w:val="24"/>
          <w:szCs w:val="24"/>
        </w:rPr>
        <w:t xml:space="preserve"> </w:t>
      </w:r>
      <w:r w:rsidR="00683E23" w:rsidRPr="006340BE">
        <w:rPr>
          <w:rFonts w:ascii="Times New Roman" w:hAnsi="Times New Roman" w:cs="Times New Roman"/>
          <w:color w:val="000000" w:themeColor="text1"/>
          <w:sz w:val="24"/>
          <w:szCs w:val="24"/>
        </w:rPr>
        <w:t xml:space="preserve">significant private investment to ensure ownership and quality of results. </w:t>
      </w:r>
    </w:p>
    <w:p w14:paraId="7302764D" w14:textId="3F1862F3" w:rsidR="003B19FE" w:rsidRDefault="002F6962" w:rsidP="004C70A4">
      <w:pPr>
        <w:autoSpaceDE w:val="0"/>
        <w:autoSpaceDN w:val="0"/>
        <w:adjustRightInd w:val="0"/>
        <w:spacing w:before="120"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The 3% R&amp;D</w:t>
      </w:r>
      <w:r w:rsidR="00B53AB8" w:rsidRPr="006340BE">
        <w:rPr>
          <w:rFonts w:ascii="Times New Roman" w:eastAsia="Times New Roman" w:hAnsi="Times New Roman" w:cs="Times New Roman"/>
          <w:color w:val="000000" w:themeColor="text1"/>
          <w:sz w:val="24"/>
          <w:szCs w:val="24"/>
        </w:rPr>
        <w:t xml:space="preserve"> investment target has, since 2002, provided</w:t>
      </w:r>
      <w:r w:rsidR="004C4F0E" w:rsidRPr="006340BE">
        <w:rPr>
          <w:rFonts w:ascii="Times New Roman" w:eastAsia="Times New Roman" w:hAnsi="Times New Roman" w:cs="Times New Roman"/>
          <w:color w:val="000000" w:themeColor="text1"/>
          <w:sz w:val="24"/>
          <w:szCs w:val="24"/>
        </w:rPr>
        <w:t>, at times,</w:t>
      </w:r>
      <w:r w:rsidR="00B53AB8" w:rsidRPr="006340BE">
        <w:rPr>
          <w:rFonts w:ascii="Times New Roman" w:eastAsia="Times New Roman" w:hAnsi="Times New Roman" w:cs="Times New Roman"/>
          <w:color w:val="000000" w:themeColor="text1"/>
          <w:sz w:val="24"/>
          <w:szCs w:val="24"/>
        </w:rPr>
        <w:t xml:space="preserve"> a stimulating effect </w:t>
      </w:r>
      <w:r w:rsidR="004C4F0E" w:rsidRPr="006340BE">
        <w:rPr>
          <w:rFonts w:ascii="Times New Roman" w:eastAsia="Times New Roman" w:hAnsi="Times New Roman" w:cs="Times New Roman"/>
          <w:color w:val="000000" w:themeColor="text1"/>
          <w:sz w:val="24"/>
          <w:szCs w:val="24"/>
        </w:rPr>
        <w:t xml:space="preserve">to increase </w:t>
      </w:r>
      <w:r w:rsidR="00B53AB8" w:rsidRPr="006340BE">
        <w:rPr>
          <w:rFonts w:ascii="Times New Roman" w:eastAsia="Times New Roman" w:hAnsi="Times New Roman" w:cs="Times New Roman"/>
          <w:color w:val="000000" w:themeColor="text1"/>
          <w:sz w:val="24"/>
          <w:szCs w:val="24"/>
        </w:rPr>
        <w:t>investments in the EU and Member States</w:t>
      </w:r>
      <w:r w:rsidR="004C4F0E" w:rsidRPr="006340BE">
        <w:rPr>
          <w:rFonts w:ascii="Times New Roman" w:eastAsia="Times New Roman" w:hAnsi="Times New Roman" w:cs="Times New Roman"/>
          <w:color w:val="000000" w:themeColor="text1"/>
          <w:sz w:val="24"/>
          <w:szCs w:val="24"/>
        </w:rPr>
        <w:t>, however not enough to meet this target</w:t>
      </w:r>
      <w:r w:rsidR="00B53AB8" w:rsidRPr="006340BE">
        <w:rPr>
          <w:rFonts w:ascii="Times New Roman" w:eastAsia="Times New Roman" w:hAnsi="Times New Roman" w:cs="Times New Roman"/>
          <w:color w:val="000000" w:themeColor="text1"/>
          <w:sz w:val="24"/>
          <w:szCs w:val="24"/>
        </w:rPr>
        <w:t xml:space="preserve">. </w:t>
      </w:r>
      <w:r w:rsidR="004C4F0E" w:rsidRPr="006340BE">
        <w:rPr>
          <w:rFonts w:ascii="Times New Roman" w:eastAsia="Times New Roman" w:hAnsi="Times New Roman" w:cs="Times New Roman"/>
          <w:color w:val="000000" w:themeColor="text1"/>
          <w:sz w:val="24"/>
          <w:szCs w:val="24"/>
        </w:rPr>
        <w:t>B</w:t>
      </w:r>
      <w:r w:rsidR="00B53AB8" w:rsidRPr="006340BE">
        <w:rPr>
          <w:rFonts w:ascii="Times New Roman" w:eastAsia="Times New Roman" w:hAnsi="Times New Roman" w:cs="Times New Roman"/>
          <w:color w:val="000000" w:themeColor="text1"/>
          <w:sz w:val="24"/>
          <w:szCs w:val="24"/>
        </w:rPr>
        <w:t>usiness expenditure lags behind the EU’s main competitors and public investment stagnated since 2012 and even went down in some countries.</w:t>
      </w:r>
      <w:r w:rsidR="004C4F0E" w:rsidRPr="006340BE">
        <w:rPr>
          <w:rFonts w:ascii="Times New Roman" w:eastAsia="Times New Roman" w:hAnsi="Times New Roman" w:cs="Times New Roman"/>
          <w:color w:val="000000" w:themeColor="text1"/>
          <w:sz w:val="24"/>
          <w:szCs w:val="24"/>
        </w:rPr>
        <w:t xml:space="preserve"> This impacts on the capacity of the EU to keep up the pace with the speed of innovation at global level. </w:t>
      </w:r>
      <w:r w:rsidR="00F84668" w:rsidRPr="006340BE">
        <w:rPr>
          <w:rFonts w:ascii="Times New Roman" w:eastAsia="Times New Roman" w:hAnsi="Times New Roman" w:cs="Times New Roman"/>
          <w:color w:val="000000" w:themeColor="text1"/>
          <w:sz w:val="24"/>
          <w:szCs w:val="24"/>
        </w:rPr>
        <w:t>With a current value of 0.81% GDP,</w:t>
      </w:r>
      <w:r>
        <w:rPr>
          <w:rFonts w:ascii="Times New Roman" w:eastAsia="Times New Roman" w:hAnsi="Times New Roman" w:cs="Times New Roman"/>
          <w:color w:val="000000" w:themeColor="text1"/>
          <w:sz w:val="24"/>
          <w:szCs w:val="24"/>
        </w:rPr>
        <w:t xml:space="preserve"> EU public effort to support R&amp;D</w:t>
      </w:r>
      <w:r w:rsidR="00F84668" w:rsidRPr="006340BE">
        <w:rPr>
          <w:rFonts w:ascii="Times New Roman" w:eastAsia="Times New Roman" w:hAnsi="Times New Roman" w:cs="Times New Roman"/>
          <w:color w:val="000000" w:themeColor="text1"/>
          <w:sz w:val="24"/>
          <w:szCs w:val="24"/>
        </w:rPr>
        <w:t xml:space="preserve"> is still too low</w:t>
      </w:r>
      <w:r w:rsidR="00E3275E">
        <w:rPr>
          <w:rFonts w:ascii="Times New Roman" w:eastAsia="Times New Roman" w:hAnsi="Times New Roman" w:cs="Times New Roman"/>
          <w:color w:val="000000" w:themeColor="text1"/>
          <w:sz w:val="24"/>
          <w:szCs w:val="24"/>
        </w:rPr>
        <w:t>.</w:t>
      </w:r>
      <w:r w:rsidR="004C4F0E" w:rsidRPr="006340BE">
        <w:rPr>
          <w:rFonts w:ascii="Times New Roman" w:eastAsia="Times New Roman" w:hAnsi="Times New Roman" w:cs="Times New Roman"/>
          <w:color w:val="000000" w:themeColor="text1"/>
          <w:sz w:val="24"/>
          <w:szCs w:val="24"/>
        </w:rPr>
        <w:t xml:space="preserve"> The pandemic has accelera</w:t>
      </w:r>
      <w:r w:rsidR="00541146" w:rsidRPr="006340BE">
        <w:rPr>
          <w:rFonts w:ascii="Times New Roman" w:eastAsia="Times New Roman" w:hAnsi="Times New Roman" w:cs="Times New Roman"/>
          <w:color w:val="000000" w:themeColor="text1"/>
          <w:sz w:val="24"/>
          <w:szCs w:val="24"/>
        </w:rPr>
        <w:t>ted the twin transition. Therefore</w:t>
      </w:r>
      <w:r w:rsidR="001A2B70">
        <w:rPr>
          <w:rFonts w:ascii="Times New Roman" w:eastAsia="Times New Roman" w:hAnsi="Times New Roman" w:cs="Times New Roman"/>
          <w:color w:val="000000" w:themeColor="text1"/>
          <w:sz w:val="24"/>
          <w:szCs w:val="24"/>
        </w:rPr>
        <w:t>,</w:t>
      </w:r>
      <w:r w:rsidR="00541146" w:rsidRPr="006340BE">
        <w:rPr>
          <w:rFonts w:ascii="Times New Roman" w:eastAsia="Times New Roman" w:hAnsi="Times New Roman" w:cs="Times New Roman"/>
          <w:color w:val="000000" w:themeColor="text1"/>
          <w:sz w:val="24"/>
          <w:szCs w:val="24"/>
        </w:rPr>
        <w:t xml:space="preserve"> the level of investment must increase to keep up with the new pace. </w:t>
      </w:r>
      <w:r w:rsidR="00150088" w:rsidRPr="006340BE">
        <w:rPr>
          <w:rFonts w:ascii="Times New Roman" w:eastAsia="Times New Roman" w:hAnsi="Times New Roman" w:cs="Times New Roman"/>
          <w:color w:val="000000" w:themeColor="text1"/>
          <w:sz w:val="24"/>
          <w:szCs w:val="24"/>
        </w:rPr>
        <w:t>Member States should commit to raising their public R&amp;D efforts from 0.81% to 1.25% of GDP. This increase is commensurate with reaching the 3% goal and keeping a high level of ambition to deliver on the recovery and the twin transition.</w:t>
      </w:r>
      <w:r w:rsidR="003B19FE">
        <w:rPr>
          <w:rFonts w:ascii="Times New Roman" w:eastAsia="Times New Roman" w:hAnsi="Times New Roman" w:cs="Times New Roman"/>
          <w:color w:val="000000" w:themeColor="text1"/>
          <w:sz w:val="24"/>
          <w:szCs w:val="24"/>
        </w:rPr>
        <w:t xml:space="preserve"> </w:t>
      </w:r>
      <w:r w:rsidR="00E3275E" w:rsidRPr="00E3275E">
        <w:rPr>
          <w:rFonts w:ascii="Times New Roman" w:eastAsia="Times New Roman" w:hAnsi="Times New Roman" w:cs="Times New Roman"/>
          <w:color w:val="000000" w:themeColor="text1"/>
          <w:sz w:val="24"/>
          <w:szCs w:val="24"/>
        </w:rPr>
        <w:t>Only a small share of revenues are currently spen</w:t>
      </w:r>
      <w:r w:rsidR="00E3275E">
        <w:rPr>
          <w:rFonts w:ascii="Times New Roman" w:eastAsia="Times New Roman" w:hAnsi="Times New Roman" w:cs="Times New Roman"/>
          <w:color w:val="000000" w:themeColor="text1"/>
          <w:sz w:val="24"/>
          <w:szCs w:val="24"/>
        </w:rPr>
        <w:t>t</w:t>
      </w:r>
      <w:r w:rsidR="00E3275E" w:rsidRPr="00E3275E">
        <w:rPr>
          <w:rFonts w:ascii="Times New Roman" w:eastAsia="Times New Roman" w:hAnsi="Times New Roman" w:cs="Times New Roman"/>
          <w:color w:val="000000" w:themeColor="text1"/>
          <w:sz w:val="24"/>
          <w:szCs w:val="24"/>
        </w:rPr>
        <w:t xml:space="preserve"> by the private sector on R&amp;I in the sectors where low-carbon technol</w:t>
      </w:r>
      <w:r w:rsidR="00E3275E">
        <w:rPr>
          <w:rFonts w:ascii="Times New Roman" w:eastAsia="Times New Roman" w:hAnsi="Times New Roman" w:cs="Times New Roman"/>
          <w:color w:val="000000" w:themeColor="text1"/>
          <w:sz w:val="24"/>
          <w:szCs w:val="24"/>
        </w:rPr>
        <w:t>o</w:t>
      </w:r>
      <w:r w:rsidR="00E3275E" w:rsidRPr="00E3275E">
        <w:rPr>
          <w:rFonts w:ascii="Times New Roman" w:eastAsia="Times New Roman" w:hAnsi="Times New Roman" w:cs="Times New Roman"/>
          <w:color w:val="000000" w:themeColor="text1"/>
          <w:sz w:val="24"/>
          <w:szCs w:val="24"/>
        </w:rPr>
        <w:t xml:space="preserve">gies are needed to be applied </w:t>
      </w:r>
      <w:r w:rsidR="00E3275E">
        <w:rPr>
          <w:rFonts w:ascii="Times New Roman" w:eastAsia="Times New Roman" w:hAnsi="Times New Roman" w:cs="Times New Roman"/>
          <w:color w:val="000000" w:themeColor="text1"/>
          <w:sz w:val="24"/>
          <w:szCs w:val="24"/>
        </w:rPr>
        <w:t>o</w:t>
      </w:r>
      <w:r w:rsidR="00E3275E" w:rsidRPr="00E3275E">
        <w:rPr>
          <w:rFonts w:ascii="Times New Roman" w:eastAsia="Times New Roman" w:hAnsi="Times New Roman" w:cs="Times New Roman"/>
          <w:color w:val="000000" w:themeColor="text1"/>
          <w:sz w:val="24"/>
          <w:szCs w:val="24"/>
        </w:rPr>
        <w:t xml:space="preserve">n </w:t>
      </w:r>
      <w:r w:rsidR="00E3275E">
        <w:rPr>
          <w:rFonts w:ascii="Times New Roman" w:eastAsia="Times New Roman" w:hAnsi="Times New Roman" w:cs="Times New Roman"/>
          <w:color w:val="000000" w:themeColor="text1"/>
          <w:sz w:val="24"/>
          <w:szCs w:val="24"/>
        </w:rPr>
        <w:t xml:space="preserve">a </w:t>
      </w:r>
      <w:r w:rsidR="00E3275E" w:rsidRPr="00E3275E">
        <w:rPr>
          <w:rFonts w:ascii="Times New Roman" w:eastAsia="Times New Roman" w:hAnsi="Times New Roman" w:cs="Times New Roman"/>
          <w:color w:val="000000" w:themeColor="text1"/>
          <w:sz w:val="24"/>
          <w:szCs w:val="24"/>
        </w:rPr>
        <w:t>large scale</w:t>
      </w:r>
      <w:r w:rsidR="00E3275E">
        <w:rPr>
          <w:rStyle w:val="FootnoteReference"/>
          <w:rFonts w:ascii="Times New Roman" w:eastAsia="Times New Roman" w:hAnsi="Times New Roman" w:cs="Times New Roman"/>
          <w:color w:val="000000" w:themeColor="text1"/>
          <w:sz w:val="24"/>
          <w:szCs w:val="24"/>
        </w:rPr>
        <w:footnoteReference w:id="25"/>
      </w:r>
      <w:r w:rsidR="00E3275E" w:rsidRPr="00E3275E">
        <w:rPr>
          <w:rFonts w:ascii="Times New Roman" w:eastAsia="Times New Roman" w:hAnsi="Times New Roman" w:cs="Times New Roman"/>
          <w:color w:val="000000" w:themeColor="text1"/>
          <w:sz w:val="24"/>
          <w:szCs w:val="24"/>
        </w:rPr>
        <w:t xml:space="preserve">. </w:t>
      </w:r>
      <w:r w:rsidR="003D4CD7">
        <w:rPr>
          <w:rFonts w:ascii="Times New Roman" w:eastAsia="Times New Roman" w:hAnsi="Times New Roman" w:cs="Times New Roman"/>
          <w:color w:val="000000" w:themeColor="text1"/>
          <w:sz w:val="24"/>
          <w:szCs w:val="24"/>
        </w:rPr>
        <w:t>The p</w:t>
      </w:r>
      <w:r w:rsidR="00E3275E" w:rsidRPr="00E3275E">
        <w:rPr>
          <w:rFonts w:ascii="Times New Roman" w:eastAsia="Times New Roman" w:hAnsi="Times New Roman" w:cs="Times New Roman"/>
          <w:color w:val="000000" w:themeColor="text1"/>
          <w:sz w:val="24"/>
          <w:szCs w:val="24"/>
        </w:rPr>
        <w:t xml:space="preserve">rivate sector </w:t>
      </w:r>
      <w:r w:rsidR="00E3275E">
        <w:rPr>
          <w:rFonts w:ascii="Times New Roman" w:eastAsia="Times New Roman" w:hAnsi="Times New Roman" w:cs="Times New Roman"/>
          <w:color w:val="000000" w:themeColor="text1"/>
          <w:sz w:val="24"/>
          <w:szCs w:val="24"/>
        </w:rPr>
        <w:t xml:space="preserve">should </w:t>
      </w:r>
      <w:r w:rsidR="003D4CD7">
        <w:rPr>
          <w:rFonts w:ascii="Times New Roman" w:eastAsia="Times New Roman" w:hAnsi="Times New Roman" w:cs="Times New Roman"/>
          <w:color w:val="000000" w:themeColor="text1"/>
          <w:sz w:val="24"/>
          <w:szCs w:val="24"/>
        </w:rPr>
        <w:t>be encouraged to</w:t>
      </w:r>
      <w:r w:rsidR="00E3275E">
        <w:rPr>
          <w:rFonts w:ascii="Times New Roman" w:eastAsia="Times New Roman" w:hAnsi="Times New Roman" w:cs="Times New Roman"/>
          <w:color w:val="000000" w:themeColor="text1"/>
          <w:sz w:val="24"/>
          <w:szCs w:val="24"/>
        </w:rPr>
        <w:t xml:space="preserve"> </w:t>
      </w:r>
      <w:r w:rsidR="00E3275E" w:rsidRPr="00E3275E">
        <w:rPr>
          <w:rFonts w:ascii="Times New Roman" w:eastAsia="Times New Roman" w:hAnsi="Times New Roman" w:cs="Times New Roman"/>
          <w:color w:val="000000" w:themeColor="text1"/>
          <w:sz w:val="24"/>
          <w:szCs w:val="24"/>
        </w:rPr>
        <w:t xml:space="preserve">increase </w:t>
      </w:r>
      <w:r w:rsidR="00E3275E">
        <w:rPr>
          <w:rFonts w:ascii="Times New Roman" w:eastAsia="Times New Roman" w:hAnsi="Times New Roman" w:cs="Times New Roman"/>
          <w:color w:val="000000" w:themeColor="text1"/>
          <w:sz w:val="24"/>
          <w:szCs w:val="24"/>
        </w:rPr>
        <w:t>its</w:t>
      </w:r>
      <w:r>
        <w:rPr>
          <w:rFonts w:ascii="Times New Roman" w:eastAsia="Times New Roman" w:hAnsi="Times New Roman" w:cs="Times New Roman"/>
          <w:color w:val="000000" w:themeColor="text1"/>
          <w:sz w:val="24"/>
          <w:szCs w:val="24"/>
        </w:rPr>
        <w:t xml:space="preserve"> R&amp;D</w:t>
      </w:r>
      <w:r w:rsidR="00E3275E" w:rsidRPr="00E3275E">
        <w:rPr>
          <w:rFonts w:ascii="Times New Roman" w:eastAsia="Times New Roman" w:hAnsi="Times New Roman" w:cs="Times New Roman"/>
          <w:color w:val="000000" w:themeColor="text1"/>
          <w:sz w:val="24"/>
          <w:szCs w:val="24"/>
        </w:rPr>
        <w:t xml:space="preserve"> </w:t>
      </w:r>
      <w:r w:rsidR="003D4CD7">
        <w:rPr>
          <w:rFonts w:ascii="Times New Roman" w:eastAsia="Times New Roman" w:hAnsi="Times New Roman" w:cs="Times New Roman"/>
          <w:color w:val="000000" w:themeColor="text1"/>
          <w:sz w:val="24"/>
          <w:szCs w:val="24"/>
        </w:rPr>
        <w:t>investment</w:t>
      </w:r>
      <w:r w:rsidR="00E3275E">
        <w:rPr>
          <w:rFonts w:ascii="Times New Roman" w:eastAsia="Times New Roman" w:hAnsi="Times New Roman" w:cs="Times New Roman"/>
          <w:color w:val="000000" w:themeColor="text1"/>
          <w:sz w:val="24"/>
          <w:szCs w:val="24"/>
        </w:rPr>
        <w:t xml:space="preserve">. </w:t>
      </w:r>
      <w:r w:rsidR="00150088" w:rsidRPr="006340BE">
        <w:rPr>
          <w:rFonts w:ascii="Times New Roman" w:eastAsia="Times New Roman" w:hAnsi="Times New Roman" w:cs="Times New Roman"/>
          <w:color w:val="000000" w:themeColor="text1"/>
          <w:sz w:val="24"/>
          <w:szCs w:val="24"/>
        </w:rPr>
        <w:t xml:space="preserve">Furthermore, current annual spending on joint R&amp;D programmes between Member States constitutes about 1% of total public R&amp;D funding in Europe. A target of 5% can help </w:t>
      </w:r>
      <w:r w:rsidR="00541146" w:rsidRPr="006340BE">
        <w:rPr>
          <w:rFonts w:ascii="Times New Roman" w:eastAsia="Times New Roman" w:hAnsi="Times New Roman" w:cs="Times New Roman"/>
          <w:color w:val="000000" w:themeColor="text1"/>
          <w:sz w:val="24"/>
          <w:szCs w:val="24"/>
        </w:rPr>
        <w:t xml:space="preserve">Member States focus </w:t>
      </w:r>
      <w:r w:rsidR="00150088" w:rsidRPr="006340BE">
        <w:rPr>
          <w:rFonts w:ascii="Times New Roman" w:eastAsia="Times New Roman" w:hAnsi="Times New Roman" w:cs="Times New Roman"/>
          <w:color w:val="000000" w:themeColor="text1"/>
          <w:sz w:val="24"/>
          <w:szCs w:val="24"/>
        </w:rPr>
        <w:t xml:space="preserve">and align national public R&amp;D efforts, also with Horizon Europe </w:t>
      </w:r>
      <w:r w:rsidR="00793033">
        <w:rPr>
          <w:rFonts w:ascii="Times New Roman" w:eastAsia="Times New Roman" w:hAnsi="Times New Roman" w:cs="Times New Roman"/>
          <w:color w:val="000000" w:themeColor="text1"/>
          <w:sz w:val="24"/>
          <w:szCs w:val="24"/>
        </w:rPr>
        <w:t>M</w:t>
      </w:r>
      <w:r w:rsidR="00150088" w:rsidRPr="006340BE">
        <w:rPr>
          <w:rFonts w:ascii="Times New Roman" w:eastAsia="Times New Roman" w:hAnsi="Times New Roman" w:cs="Times New Roman"/>
          <w:color w:val="000000" w:themeColor="text1"/>
          <w:sz w:val="24"/>
          <w:szCs w:val="24"/>
        </w:rPr>
        <w:t xml:space="preserve">issions and </w:t>
      </w:r>
      <w:r w:rsidR="00793033">
        <w:rPr>
          <w:rFonts w:ascii="Times New Roman" w:eastAsia="Times New Roman" w:hAnsi="Times New Roman" w:cs="Times New Roman"/>
          <w:color w:val="000000" w:themeColor="text1"/>
          <w:sz w:val="24"/>
          <w:szCs w:val="24"/>
        </w:rPr>
        <w:t>P</w:t>
      </w:r>
      <w:r w:rsidR="00150088" w:rsidRPr="006340BE">
        <w:rPr>
          <w:rFonts w:ascii="Times New Roman" w:eastAsia="Times New Roman" w:hAnsi="Times New Roman" w:cs="Times New Roman"/>
          <w:color w:val="000000" w:themeColor="text1"/>
          <w:sz w:val="24"/>
          <w:szCs w:val="24"/>
        </w:rPr>
        <w:t xml:space="preserve">artnerships. </w:t>
      </w:r>
      <w:r w:rsidR="00CB69A5" w:rsidRPr="006340BE">
        <w:rPr>
          <w:rFonts w:ascii="Times New Roman" w:eastAsia="Times New Roman" w:hAnsi="Times New Roman" w:cs="Times New Roman"/>
          <w:color w:val="000000" w:themeColor="text1"/>
          <w:sz w:val="24"/>
          <w:szCs w:val="24"/>
        </w:rPr>
        <w:t xml:space="preserve">Similarly, national reforms will be needed to strengthen </w:t>
      </w:r>
      <w:r w:rsidR="00541146" w:rsidRPr="006340BE">
        <w:rPr>
          <w:rFonts w:ascii="Times New Roman" w:eastAsia="Times New Roman" w:hAnsi="Times New Roman" w:cs="Times New Roman"/>
          <w:color w:val="000000" w:themeColor="text1"/>
          <w:sz w:val="24"/>
          <w:szCs w:val="24"/>
        </w:rPr>
        <w:t xml:space="preserve">national and regional </w:t>
      </w:r>
      <w:r w:rsidR="00CB69A5" w:rsidRPr="006340BE">
        <w:rPr>
          <w:rFonts w:ascii="Times New Roman" w:eastAsia="Times New Roman" w:hAnsi="Times New Roman" w:cs="Times New Roman"/>
          <w:color w:val="000000" w:themeColor="text1"/>
          <w:sz w:val="24"/>
          <w:szCs w:val="24"/>
        </w:rPr>
        <w:t>R&amp;I systems</w:t>
      </w:r>
      <w:r w:rsidR="00541146" w:rsidRPr="006340BE">
        <w:rPr>
          <w:rFonts w:ascii="Times New Roman" w:eastAsia="Times New Roman" w:hAnsi="Times New Roman" w:cs="Times New Roman"/>
          <w:color w:val="000000" w:themeColor="text1"/>
          <w:sz w:val="24"/>
          <w:szCs w:val="24"/>
        </w:rPr>
        <w:t>, taking into account t</w:t>
      </w:r>
      <w:r w:rsidR="00CB69A5" w:rsidRPr="006340BE">
        <w:rPr>
          <w:rFonts w:ascii="Times New Roman" w:eastAsia="Times New Roman" w:hAnsi="Times New Roman" w:cs="Times New Roman"/>
          <w:color w:val="000000" w:themeColor="text1"/>
          <w:sz w:val="24"/>
          <w:szCs w:val="24"/>
        </w:rPr>
        <w:t>he 2019 and 2020 country specific recommendations of the European Semester</w:t>
      </w:r>
      <w:r w:rsidR="00CB69A5" w:rsidRPr="006340BE">
        <w:rPr>
          <w:rStyle w:val="FootnoteReference"/>
          <w:rFonts w:ascii="Times New Roman" w:eastAsia="Times New Roman" w:hAnsi="Times New Roman" w:cs="Times New Roman"/>
          <w:color w:val="000000" w:themeColor="text1"/>
          <w:sz w:val="24"/>
          <w:szCs w:val="24"/>
        </w:rPr>
        <w:footnoteReference w:id="26"/>
      </w:r>
      <w:r w:rsidR="003B19FE">
        <w:rPr>
          <w:rFonts w:ascii="Times New Roman" w:eastAsia="Times New Roman" w:hAnsi="Times New Roman" w:cs="Times New Roman"/>
          <w:color w:val="000000" w:themeColor="text1"/>
          <w:sz w:val="24"/>
          <w:szCs w:val="24"/>
        </w:rPr>
        <w:t xml:space="preserve"> </w:t>
      </w:r>
      <w:r w:rsidR="003B19FE" w:rsidRPr="003B19FE">
        <w:rPr>
          <w:rFonts w:ascii="Times New Roman" w:eastAsia="Times New Roman" w:hAnsi="Times New Roman" w:cs="Times New Roman"/>
          <w:color w:val="000000" w:themeColor="text1"/>
          <w:sz w:val="24"/>
          <w:szCs w:val="24"/>
        </w:rPr>
        <w:t>and the assessments of National Energy and Climate Plans</w:t>
      </w:r>
      <w:r w:rsidR="00CB69A5" w:rsidRPr="006340BE">
        <w:rPr>
          <w:rFonts w:ascii="Times New Roman" w:eastAsia="Times New Roman" w:hAnsi="Times New Roman" w:cs="Times New Roman"/>
          <w:color w:val="000000" w:themeColor="text1"/>
          <w:sz w:val="24"/>
          <w:szCs w:val="24"/>
        </w:rPr>
        <w:t>.</w:t>
      </w:r>
    </w:p>
    <w:p w14:paraId="742A0FD0" w14:textId="55EE41D0" w:rsidR="0035342E" w:rsidRPr="006340BE" w:rsidRDefault="00CB69A5" w:rsidP="004C70A4">
      <w:pPr>
        <w:autoSpaceDE w:val="0"/>
        <w:autoSpaceDN w:val="0"/>
        <w:adjustRightInd w:val="0"/>
        <w:spacing w:before="120" w:after="0" w:line="240" w:lineRule="auto"/>
        <w:jc w:val="both"/>
        <w:rPr>
          <w:rFonts w:ascii="Times New Roman" w:eastAsia="Times New Roman" w:hAnsi="Times New Roman" w:cs="Times New Roman"/>
          <w:color w:val="000000" w:themeColor="text1"/>
          <w:sz w:val="24"/>
          <w:szCs w:val="24"/>
        </w:rPr>
      </w:pPr>
      <w:r w:rsidRPr="006340BE">
        <w:rPr>
          <w:rFonts w:ascii="Times New Roman" w:eastAsia="Times New Roman" w:hAnsi="Times New Roman" w:cs="Times New Roman"/>
          <w:color w:val="000000" w:themeColor="text1"/>
          <w:sz w:val="24"/>
          <w:szCs w:val="24"/>
        </w:rPr>
        <w:t>T</w:t>
      </w:r>
      <w:r w:rsidR="0035342E" w:rsidRPr="006340BE">
        <w:rPr>
          <w:rFonts w:ascii="Times New Roman" w:hAnsi="Times New Roman" w:cs="Times New Roman"/>
          <w:color w:val="000000" w:themeColor="text1"/>
          <w:sz w:val="24"/>
          <w:szCs w:val="24"/>
        </w:rPr>
        <w:t>he Recovery and Resilience Facility should also contribute to such effort as it encourages Member States to undertake reforms and investments in new technologies and in a number of European flagships</w:t>
      </w:r>
      <w:r w:rsidR="001B2C6F" w:rsidRPr="006340BE">
        <w:rPr>
          <w:rFonts w:ascii="Times New Roman" w:hAnsi="Times New Roman" w:cs="Times New Roman"/>
          <w:color w:val="000000" w:themeColor="text1"/>
          <w:sz w:val="24"/>
          <w:szCs w:val="24"/>
        </w:rPr>
        <w:t xml:space="preserve"> initiatives</w:t>
      </w:r>
      <w:r w:rsidR="00541146" w:rsidRPr="006340BE">
        <w:rPr>
          <w:rFonts w:ascii="Times New Roman" w:hAnsi="Times New Roman" w:cs="Times New Roman"/>
          <w:color w:val="000000" w:themeColor="text1"/>
          <w:sz w:val="24"/>
          <w:szCs w:val="24"/>
        </w:rPr>
        <w:t xml:space="preserve">, such as powering up future proof clean technologies or scaling up </w:t>
      </w:r>
      <w:r w:rsidR="00541146" w:rsidRPr="006340BE">
        <w:rPr>
          <w:rFonts w:ascii="Times New Roman" w:eastAsia="Times New Roman" w:hAnsi="Times New Roman" w:cs="Times New Roman"/>
          <w:sz w:val="24"/>
          <w:szCs w:val="24"/>
          <w:lang w:eastAsia="en-GB"/>
        </w:rPr>
        <w:t>European industrial data cloud capacities and developing the most powerful, cutting edge, and sustainable processors</w:t>
      </w:r>
      <w:r w:rsidR="00541146" w:rsidRPr="006340BE">
        <w:rPr>
          <w:rStyle w:val="FootnoteReference"/>
          <w:rFonts w:ascii="Times New Roman" w:eastAsia="Times New Roman" w:hAnsi="Times New Roman" w:cs="Times New Roman"/>
          <w:sz w:val="24"/>
          <w:szCs w:val="24"/>
          <w:lang w:eastAsia="en-GB"/>
        </w:rPr>
        <w:footnoteReference w:id="27"/>
      </w:r>
      <w:r w:rsidR="00541146" w:rsidRPr="006340BE">
        <w:rPr>
          <w:rFonts w:ascii="Times New Roman" w:eastAsia="Times New Roman" w:hAnsi="Times New Roman" w:cs="Times New Roman"/>
          <w:sz w:val="24"/>
          <w:szCs w:val="24"/>
          <w:lang w:eastAsia="en-GB"/>
        </w:rPr>
        <w:t xml:space="preserve">. </w:t>
      </w:r>
      <w:r w:rsidR="0035342E" w:rsidRPr="006340BE">
        <w:rPr>
          <w:rFonts w:ascii="Times New Roman" w:hAnsi="Times New Roman" w:cs="Times New Roman"/>
          <w:color w:val="000000" w:themeColor="text1"/>
          <w:sz w:val="24"/>
          <w:szCs w:val="24"/>
        </w:rPr>
        <w:t xml:space="preserve">Possible investments include </w:t>
      </w:r>
      <w:r w:rsidR="00541146" w:rsidRPr="006340BE">
        <w:rPr>
          <w:rFonts w:ascii="Times New Roman" w:hAnsi="Times New Roman" w:cs="Times New Roman"/>
          <w:color w:val="000000" w:themeColor="text1"/>
          <w:sz w:val="24"/>
          <w:szCs w:val="24"/>
        </w:rPr>
        <w:t>would foster</w:t>
      </w:r>
      <w:r w:rsidR="0035342E" w:rsidRPr="006340BE">
        <w:rPr>
          <w:rFonts w:ascii="Times New Roman" w:hAnsi="Times New Roman" w:cs="Times New Roman"/>
          <w:color w:val="000000" w:themeColor="text1"/>
          <w:sz w:val="24"/>
          <w:szCs w:val="24"/>
        </w:rPr>
        <w:t xml:space="preserve"> cross border cooperative projects or important projects of common European interest</w:t>
      </w:r>
      <w:r w:rsidR="0035342E" w:rsidRPr="006340BE">
        <w:rPr>
          <w:rStyle w:val="FootnoteReference"/>
          <w:rFonts w:ascii="Times New Roman" w:hAnsi="Times New Roman" w:cs="Times New Roman"/>
          <w:color w:val="000000" w:themeColor="text1"/>
          <w:sz w:val="24"/>
          <w:szCs w:val="24"/>
        </w:rPr>
        <w:footnoteReference w:id="28"/>
      </w:r>
      <w:r w:rsidR="0035342E" w:rsidRPr="006340BE">
        <w:rPr>
          <w:rFonts w:ascii="Times New Roman" w:hAnsi="Times New Roman" w:cs="Times New Roman"/>
          <w:color w:val="000000" w:themeColor="text1"/>
          <w:sz w:val="24"/>
          <w:szCs w:val="24"/>
        </w:rPr>
        <w:t xml:space="preserve">. The coordination of </w:t>
      </w:r>
      <w:proofErr w:type="gramStart"/>
      <w:r w:rsidR="0035342E" w:rsidRPr="006340BE">
        <w:rPr>
          <w:rFonts w:ascii="Times New Roman" w:eastAsia="Times New Roman" w:hAnsi="Times New Roman" w:cs="Times New Roman"/>
          <w:color w:val="000000" w:themeColor="text1"/>
          <w:sz w:val="24"/>
          <w:szCs w:val="24"/>
        </w:rPr>
        <w:t>R&amp;I</w:t>
      </w:r>
      <w:proofErr w:type="gramEnd"/>
      <w:r w:rsidR="0035342E" w:rsidRPr="006340BE">
        <w:rPr>
          <w:rFonts w:ascii="Times New Roman" w:eastAsia="Times New Roman" w:hAnsi="Times New Roman" w:cs="Times New Roman"/>
          <w:color w:val="000000" w:themeColor="text1"/>
          <w:sz w:val="24"/>
          <w:szCs w:val="24"/>
        </w:rPr>
        <w:t xml:space="preserve"> investment and reform efforts </w:t>
      </w:r>
      <w:r w:rsidR="0035342E" w:rsidRPr="006340BE">
        <w:rPr>
          <w:rFonts w:ascii="Times New Roman" w:hAnsi="Times New Roman" w:cs="Times New Roman"/>
          <w:color w:val="000000" w:themeColor="text1"/>
          <w:sz w:val="24"/>
          <w:szCs w:val="24"/>
        </w:rPr>
        <w:t>should occur:</w:t>
      </w:r>
    </w:p>
    <w:p w14:paraId="44166DFB" w14:textId="64BB4D72" w:rsidR="00C317DF" w:rsidRPr="00754C9D" w:rsidRDefault="00C317DF" w:rsidP="00F74968">
      <w:pPr>
        <w:pStyle w:val="ListParagraph"/>
        <w:numPr>
          <w:ilvl w:val="0"/>
          <w:numId w:val="8"/>
        </w:numPr>
        <w:spacing w:before="120" w:after="0" w:line="240" w:lineRule="auto"/>
        <w:jc w:val="both"/>
        <w:rPr>
          <w:rFonts w:ascii="Times New Roman" w:hAnsi="Times New Roman" w:cs="Times New Roman"/>
          <w:color w:val="000000" w:themeColor="text1"/>
          <w:sz w:val="24"/>
          <w:szCs w:val="24"/>
          <w:highlight w:val="yellow"/>
        </w:rPr>
      </w:pPr>
      <w:r w:rsidRPr="006340BE">
        <w:rPr>
          <w:rFonts w:ascii="Times New Roman" w:eastAsia="Times New Roman" w:hAnsi="Times New Roman" w:cs="Times New Roman"/>
          <w:color w:val="000000" w:themeColor="text1"/>
          <w:sz w:val="24"/>
          <w:szCs w:val="24"/>
        </w:rPr>
        <w:lastRenderedPageBreak/>
        <w:t>First</w:t>
      </w:r>
      <w:r w:rsidR="00AB65EA" w:rsidRPr="006340BE">
        <w:rPr>
          <w:rFonts w:ascii="Times New Roman" w:eastAsia="Times New Roman" w:hAnsi="Times New Roman" w:cs="Times New Roman"/>
          <w:color w:val="000000" w:themeColor="text1"/>
          <w:sz w:val="24"/>
          <w:szCs w:val="24"/>
        </w:rPr>
        <w:t>,</w:t>
      </w:r>
      <w:r w:rsidRPr="006340BE">
        <w:rPr>
          <w:rFonts w:ascii="Times New Roman" w:eastAsia="Times New Roman" w:hAnsi="Times New Roman" w:cs="Times New Roman"/>
          <w:color w:val="000000" w:themeColor="text1"/>
          <w:sz w:val="24"/>
          <w:szCs w:val="24"/>
        </w:rPr>
        <w:t xml:space="preserve"> by </w:t>
      </w:r>
      <w:r w:rsidRPr="00754C9D">
        <w:rPr>
          <w:rFonts w:ascii="Times New Roman" w:eastAsia="Times New Roman" w:hAnsi="Times New Roman" w:cs="Times New Roman"/>
          <w:color w:val="000000" w:themeColor="text1"/>
          <w:sz w:val="24"/>
          <w:szCs w:val="24"/>
          <w:highlight w:val="yellow"/>
        </w:rPr>
        <w:t>s</w:t>
      </w:r>
      <w:r w:rsidR="00D03C39" w:rsidRPr="00754C9D">
        <w:rPr>
          <w:rFonts w:ascii="Times New Roman" w:eastAsia="Times New Roman" w:hAnsi="Times New Roman" w:cs="Times New Roman"/>
          <w:color w:val="000000" w:themeColor="text1"/>
          <w:sz w:val="24"/>
          <w:szCs w:val="24"/>
          <w:highlight w:val="yellow"/>
        </w:rPr>
        <w:t xml:space="preserve">etting </w:t>
      </w:r>
      <w:r w:rsidR="00A501A7" w:rsidRPr="00754C9D">
        <w:rPr>
          <w:rFonts w:ascii="Times New Roman" w:hAnsi="Times New Roman" w:cs="Times New Roman"/>
          <w:color w:val="000000" w:themeColor="text1"/>
          <w:sz w:val="24"/>
          <w:szCs w:val="24"/>
          <w:highlight w:val="yellow"/>
        </w:rPr>
        <w:t>funding targets</w:t>
      </w:r>
      <w:r w:rsidR="00594A2B" w:rsidRPr="00754C9D">
        <w:rPr>
          <w:rFonts w:ascii="Times New Roman" w:hAnsi="Times New Roman" w:cs="Times New Roman"/>
          <w:color w:val="000000" w:themeColor="text1"/>
          <w:sz w:val="24"/>
          <w:szCs w:val="24"/>
          <w:highlight w:val="yellow"/>
        </w:rPr>
        <w:t>,</w:t>
      </w:r>
      <w:r w:rsidR="00594A2B" w:rsidRPr="006340BE">
        <w:rPr>
          <w:rFonts w:ascii="Times New Roman" w:hAnsi="Times New Roman" w:cs="Times New Roman"/>
          <w:color w:val="000000" w:themeColor="text1"/>
          <w:sz w:val="24"/>
          <w:szCs w:val="24"/>
        </w:rPr>
        <w:t xml:space="preserve"> in particular for </w:t>
      </w:r>
      <w:r w:rsidR="00FF700E" w:rsidRPr="006340BE">
        <w:rPr>
          <w:rFonts w:ascii="Times New Roman" w:hAnsi="Times New Roman" w:cs="Times New Roman"/>
          <w:color w:val="000000" w:themeColor="text1"/>
          <w:sz w:val="24"/>
          <w:szCs w:val="24"/>
        </w:rPr>
        <w:t>supporting</w:t>
      </w:r>
      <w:r w:rsidR="00594A2B" w:rsidRPr="006340BE">
        <w:rPr>
          <w:rFonts w:ascii="Times New Roman" w:hAnsi="Times New Roman" w:cs="Times New Roman"/>
          <w:color w:val="000000" w:themeColor="text1"/>
          <w:sz w:val="24"/>
          <w:szCs w:val="24"/>
        </w:rPr>
        <w:t xml:space="preserve"> the </w:t>
      </w:r>
      <w:r w:rsidR="00FF700E" w:rsidRPr="006340BE">
        <w:rPr>
          <w:rFonts w:ascii="Times New Roman" w:hAnsi="Times New Roman" w:cs="Times New Roman"/>
          <w:iCs/>
          <w:color w:val="000000" w:themeColor="text1"/>
          <w:sz w:val="24"/>
          <w:szCs w:val="24"/>
        </w:rPr>
        <w:t>twin</w:t>
      </w:r>
      <w:r w:rsidR="00594A2B" w:rsidRPr="006340BE">
        <w:rPr>
          <w:rFonts w:ascii="Times New Roman" w:hAnsi="Times New Roman" w:cs="Times New Roman"/>
          <w:iCs/>
          <w:color w:val="000000" w:themeColor="text1"/>
          <w:sz w:val="24"/>
          <w:szCs w:val="24"/>
        </w:rPr>
        <w:t xml:space="preserve"> transition</w:t>
      </w:r>
      <w:r w:rsidR="007416FA" w:rsidRPr="006340BE">
        <w:rPr>
          <w:rFonts w:ascii="Times New Roman" w:hAnsi="Times New Roman" w:cs="Times New Roman"/>
          <w:iCs/>
          <w:color w:val="000000" w:themeColor="text1"/>
          <w:sz w:val="24"/>
          <w:szCs w:val="24"/>
        </w:rPr>
        <w:t xml:space="preserve"> </w:t>
      </w:r>
      <w:r w:rsidR="007416FA" w:rsidRPr="006340BE">
        <w:rPr>
          <w:rFonts w:ascii="Times New Roman" w:eastAsia="Times New Roman" w:hAnsi="Times New Roman" w:cs="Times New Roman"/>
          <w:color w:val="000000" w:themeColor="text1"/>
          <w:sz w:val="24"/>
          <w:szCs w:val="24"/>
        </w:rPr>
        <w:t>and the recovery priorities</w:t>
      </w:r>
      <w:r w:rsidR="00D03C39" w:rsidRPr="006340BE">
        <w:rPr>
          <w:rFonts w:ascii="Times New Roman" w:hAnsi="Times New Roman" w:cs="Times New Roman"/>
          <w:color w:val="000000" w:themeColor="text1"/>
          <w:sz w:val="24"/>
          <w:szCs w:val="24"/>
        </w:rPr>
        <w:t>,</w:t>
      </w:r>
      <w:r w:rsidR="00693164" w:rsidRPr="006340BE">
        <w:rPr>
          <w:rFonts w:ascii="Times New Roman" w:hAnsi="Times New Roman" w:cs="Times New Roman"/>
          <w:color w:val="000000" w:themeColor="text1"/>
          <w:sz w:val="24"/>
          <w:szCs w:val="24"/>
        </w:rPr>
        <w:t xml:space="preserve"> </w:t>
      </w:r>
      <w:r w:rsidR="000636AE" w:rsidRPr="006340BE">
        <w:rPr>
          <w:rFonts w:ascii="Times New Roman" w:hAnsi="Times New Roman" w:cs="Times New Roman"/>
          <w:color w:val="000000" w:themeColor="text1"/>
          <w:sz w:val="24"/>
          <w:szCs w:val="24"/>
        </w:rPr>
        <w:t xml:space="preserve">which </w:t>
      </w:r>
      <w:r w:rsidR="00A501A7" w:rsidRPr="006340BE">
        <w:rPr>
          <w:rFonts w:ascii="Times New Roman" w:hAnsi="Times New Roman" w:cs="Times New Roman"/>
          <w:color w:val="000000" w:themeColor="text1"/>
          <w:sz w:val="24"/>
          <w:szCs w:val="24"/>
        </w:rPr>
        <w:t xml:space="preserve">can have a </w:t>
      </w:r>
      <w:r w:rsidR="00A501A7" w:rsidRPr="00754C9D">
        <w:rPr>
          <w:rFonts w:ascii="Times New Roman" w:hAnsi="Times New Roman" w:cs="Times New Roman"/>
          <w:color w:val="000000" w:themeColor="text1"/>
          <w:sz w:val="24"/>
          <w:szCs w:val="24"/>
          <w:highlight w:val="yellow"/>
        </w:rPr>
        <w:t xml:space="preserve">mobilising effect over national R&amp;I </w:t>
      </w:r>
      <w:r w:rsidR="00F84668" w:rsidRPr="00754C9D">
        <w:rPr>
          <w:rFonts w:ascii="Times New Roman" w:hAnsi="Times New Roman" w:cs="Times New Roman"/>
          <w:color w:val="000000" w:themeColor="text1"/>
          <w:sz w:val="24"/>
          <w:szCs w:val="24"/>
          <w:highlight w:val="yellow"/>
        </w:rPr>
        <w:t>budgets</w:t>
      </w:r>
      <w:r w:rsidR="00E83801" w:rsidRPr="00754C9D">
        <w:rPr>
          <w:rFonts w:ascii="Times New Roman" w:hAnsi="Times New Roman" w:cs="Times New Roman"/>
          <w:color w:val="000000" w:themeColor="text1"/>
          <w:sz w:val="24"/>
          <w:szCs w:val="24"/>
          <w:highlight w:val="yellow"/>
        </w:rPr>
        <w:t xml:space="preserve"> </w:t>
      </w:r>
      <w:r w:rsidR="00D03C39" w:rsidRPr="00754C9D">
        <w:rPr>
          <w:rFonts w:ascii="Times New Roman" w:eastAsia="Times New Roman" w:hAnsi="Times New Roman" w:cs="Times New Roman"/>
          <w:color w:val="000000" w:themeColor="text1"/>
          <w:sz w:val="24"/>
          <w:szCs w:val="24"/>
          <w:highlight w:val="yellow"/>
        </w:rPr>
        <w:t>and</w:t>
      </w:r>
      <w:r w:rsidR="00E83801" w:rsidRPr="00754C9D">
        <w:rPr>
          <w:rFonts w:ascii="Times New Roman" w:eastAsia="Times New Roman" w:hAnsi="Times New Roman" w:cs="Times New Roman"/>
          <w:color w:val="000000" w:themeColor="text1"/>
          <w:sz w:val="24"/>
          <w:szCs w:val="24"/>
          <w:highlight w:val="yellow"/>
        </w:rPr>
        <w:t xml:space="preserve"> leverage </w:t>
      </w:r>
      <w:r w:rsidR="00D03C39" w:rsidRPr="00754C9D">
        <w:rPr>
          <w:rFonts w:ascii="Times New Roman" w:eastAsia="Times New Roman" w:hAnsi="Times New Roman" w:cs="Times New Roman"/>
          <w:color w:val="000000" w:themeColor="text1"/>
          <w:sz w:val="24"/>
          <w:szCs w:val="24"/>
          <w:highlight w:val="yellow"/>
        </w:rPr>
        <w:t xml:space="preserve">private </w:t>
      </w:r>
      <w:r w:rsidR="00DE0040" w:rsidRPr="00754C9D">
        <w:rPr>
          <w:rFonts w:ascii="Times New Roman" w:eastAsia="Times New Roman" w:hAnsi="Times New Roman" w:cs="Times New Roman"/>
          <w:color w:val="000000" w:themeColor="text1"/>
          <w:sz w:val="24"/>
          <w:szCs w:val="24"/>
          <w:highlight w:val="yellow"/>
        </w:rPr>
        <w:t>R&amp;I</w:t>
      </w:r>
      <w:r w:rsidR="00E83801" w:rsidRPr="00754C9D">
        <w:rPr>
          <w:rFonts w:ascii="Times New Roman" w:eastAsia="Times New Roman" w:hAnsi="Times New Roman" w:cs="Times New Roman"/>
          <w:color w:val="000000" w:themeColor="text1"/>
          <w:sz w:val="24"/>
          <w:szCs w:val="24"/>
          <w:highlight w:val="yellow"/>
        </w:rPr>
        <w:t xml:space="preserve"> investment</w:t>
      </w:r>
      <w:r w:rsidR="00244E72" w:rsidRPr="00754C9D">
        <w:rPr>
          <w:rFonts w:ascii="Times New Roman" w:eastAsia="Times New Roman" w:hAnsi="Times New Roman" w:cs="Times New Roman"/>
          <w:color w:val="000000" w:themeColor="text1"/>
          <w:sz w:val="24"/>
          <w:szCs w:val="24"/>
          <w:highlight w:val="yellow"/>
        </w:rPr>
        <w:t>.</w:t>
      </w:r>
      <w:r w:rsidR="00244E72" w:rsidRPr="00754C9D">
        <w:rPr>
          <w:rFonts w:ascii="Times New Roman" w:hAnsi="Times New Roman" w:cs="Times New Roman"/>
          <w:color w:val="000000" w:themeColor="text1"/>
          <w:sz w:val="24"/>
          <w:szCs w:val="24"/>
          <w:highlight w:val="yellow"/>
        </w:rPr>
        <w:t xml:space="preserve"> </w:t>
      </w:r>
    </w:p>
    <w:p w14:paraId="7B5043E9" w14:textId="77777777" w:rsidR="000636AE" w:rsidRPr="006340BE" w:rsidRDefault="000636AE" w:rsidP="00F74968">
      <w:pPr>
        <w:pStyle w:val="ListParagraph"/>
        <w:spacing w:before="120" w:after="0" w:line="240" w:lineRule="auto"/>
        <w:ind w:left="360"/>
        <w:jc w:val="both"/>
        <w:rPr>
          <w:rFonts w:ascii="Times New Roman" w:hAnsi="Times New Roman" w:cs="Times New Roman"/>
          <w:color w:val="000000" w:themeColor="text1"/>
          <w:sz w:val="24"/>
          <w:szCs w:val="24"/>
        </w:rPr>
      </w:pPr>
    </w:p>
    <w:p w14:paraId="2B860143" w14:textId="5274B174" w:rsidR="00C317DF" w:rsidRPr="004E416A" w:rsidRDefault="00C317DF" w:rsidP="002A07E8">
      <w:pPr>
        <w:pStyle w:val="ListParagraph"/>
        <w:numPr>
          <w:ilvl w:val="0"/>
          <w:numId w:val="8"/>
        </w:num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Second</w:t>
      </w:r>
      <w:r w:rsidR="00AB65EA" w:rsidRPr="006340BE">
        <w:rPr>
          <w:rFonts w:ascii="Times New Roman" w:hAnsi="Times New Roman" w:cs="Times New Roman"/>
          <w:color w:val="000000" w:themeColor="text1"/>
          <w:sz w:val="24"/>
          <w:szCs w:val="24"/>
        </w:rPr>
        <w:t>,</w:t>
      </w:r>
      <w:r w:rsidRPr="006340BE">
        <w:rPr>
          <w:rFonts w:ascii="Times New Roman" w:hAnsi="Times New Roman" w:cs="Times New Roman"/>
          <w:color w:val="000000" w:themeColor="text1"/>
          <w:sz w:val="24"/>
          <w:szCs w:val="24"/>
        </w:rPr>
        <w:t xml:space="preserve"> by </w:t>
      </w:r>
      <w:r w:rsidRPr="00754C9D">
        <w:rPr>
          <w:rFonts w:ascii="Times New Roman" w:hAnsi="Times New Roman" w:cs="Times New Roman"/>
          <w:iCs/>
          <w:color w:val="000000" w:themeColor="text1"/>
          <w:sz w:val="24"/>
          <w:szCs w:val="24"/>
          <w:highlight w:val="yellow"/>
        </w:rPr>
        <w:t>j</w:t>
      </w:r>
      <w:r w:rsidR="00244E72" w:rsidRPr="00754C9D">
        <w:rPr>
          <w:rFonts w:ascii="Times New Roman" w:hAnsi="Times New Roman" w:cs="Times New Roman"/>
          <w:iCs/>
          <w:color w:val="000000" w:themeColor="text1"/>
          <w:sz w:val="24"/>
          <w:szCs w:val="24"/>
          <w:highlight w:val="yellow"/>
        </w:rPr>
        <w:t>oint programming</w:t>
      </w:r>
      <w:r w:rsidR="00244E72" w:rsidRPr="00754C9D">
        <w:rPr>
          <w:rFonts w:ascii="Times New Roman" w:hAnsi="Times New Roman" w:cs="Times New Roman"/>
          <w:color w:val="000000" w:themeColor="text1"/>
          <w:sz w:val="24"/>
          <w:szCs w:val="24"/>
          <w:highlight w:val="yellow"/>
        </w:rPr>
        <w:t xml:space="preserve"> with </w:t>
      </w:r>
      <w:r w:rsidR="00907C8F" w:rsidRPr="00754C9D">
        <w:rPr>
          <w:rFonts w:ascii="Times New Roman" w:hAnsi="Times New Roman" w:cs="Times New Roman"/>
          <w:color w:val="000000" w:themeColor="text1"/>
          <w:sz w:val="24"/>
          <w:szCs w:val="24"/>
          <w:highlight w:val="yellow"/>
        </w:rPr>
        <w:t xml:space="preserve">priority areas for action and </w:t>
      </w:r>
      <w:r w:rsidR="00244E72" w:rsidRPr="00754C9D">
        <w:rPr>
          <w:rFonts w:ascii="Times New Roman" w:hAnsi="Times New Roman" w:cs="Times New Roman"/>
          <w:color w:val="000000" w:themeColor="text1"/>
          <w:sz w:val="24"/>
          <w:szCs w:val="24"/>
          <w:highlight w:val="yellow"/>
        </w:rPr>
        <w:t>ambitious budgets</w:t>
      </w:r>
      <w:r w:rsidR="00244E72" w:rsidRPr="006340BE">
        <w:rPr>
          <w:rFonts w:ascii="Times New Roman" w:hAnsi="Times New Roman" w:cs="Times New Roman"/>
          <w:color w:val="000000" w:themeColor="text1"/>
          <w:sz w:val="24"/>
          <w:szCs w:val="24"/>
        </w:rPr>
        <w:t xml:space="preserve"> to facilitate the critical mass needed in key areas supporting the </w:t>
      </w:r>
      <w:r w:rsidR="00244E72" w:rsidRPr="006340BE">
        <w:rPr>
          <w:rFonts w:ascii="Times New Roman" w:hAnsi="Times New Roman" w:cs="Times New Roman"/>
          <w:iCs/>
          <w:color w:val="000000" w:themeColor="text1"/>
          <w:sz w:val="24"/>
          <w:szCs w:val="24"/>
        </w:rPr>
        <w:t>twin transition</w:t>
      </w:r>
      <w:r w:rsidR="00244E72" w:rsidRPr="006340BE">
        <w:rPr>
          <w:rFonts w:ascii="Times New Roman" w:hAnsi="Times New Roman" w:cs="Times New Roman"/>
          <w:color w:val="000000" w:themeColor="text1"/>
          <w:sz w:val="24"/>
          <w:szCs w:val="24"/>
        </w:rPr>
        <w:t>.</w:t>
      </w:r>
      <w:r w:rsidRPr="006340BE">
        <w:rPr>
          <w:rFonts w:ascii="Times New Roman" w:hAnsi="Times New Roman" w:cs="Times New Roman"/>
          <w:color w:val="000000" w:themeColor="text1"/>
          <w:sz w:val="24"/>
          <w:szCs w:val="24"/>
        </w:rPr>
        <w:t xml:space="preserve"> </w:t>
      </w:r>
      <w:r w:rsidR="002A07E8" w:rsidRPr="002A07E8">
        <w:rPr>
          <w:rFonts w:ascii="Times New Roman" w:hAnsi="Times New Roman" w:cs="Times New Roman"/>
          <w:color w:val="000000" w:themeColor="text1"/>
          <w:sz w:val="24"/>
          <w:szCs w:val="24"/>
        </w:rPr>
        <w:t xml:space="preserve"> </w:t>
      </w:r>
      <w:r w:rsidR="002A07E8" w:rsidRPr="00443CA8">
        <w:rPr>
          <w:rFonts w:ascii="Times New Roman" w:hAnsi="Times New Roman" w:cs="Times New Roman"/>
          <w:color w:val="000000" w:themeColor="text1"/>
          <w:sz w:val="24"/>
          <w:szCs w:val="24"/>
        </w:rPr>
        <w:t xml:space="preserve">A strong focus on deployment of new technologies </w:t>
      </w:r>
      <w:r w:rsidR="003D4CD7">
        <w:rPr>
          <w:rFonts w:ascii="Times New Roman" w:hAnsi="Times New Roman" w:cs="Times New Roman"/>
          <w:color w:val="000000" w:themeColor="text1"/>
          <w:sz w:val="24"/>
          <w:szCs w:val="24"/>
        </w:rPr>
        <w:t xml:space="preserve">and solutions </w:t>
      </w:r>
      <w:r w:rsidR="002A07E8" w:rsidRPr="00443CA8">
        <w:rPr>
          <w:rFonts w:ascii="Times New Roman" w:hAnsi="Times New Roman" w:cs="Times New Roman"/>
          <w:color w:val="000000" w:themeColor="text1"/>
          <w:sz w:val="24"/>
          <w:szCs w:val="24"/>
        </w:rPr>
        <w:t xml:space="preserve">throughout the economy and public administration will be essential to increasing the impact of </w:t>
      </w:r>
      <w:proofErr w:type="gramStart"/>
      <w:r w:rsidR="002A07E8" w:rsidRPr="00443CA8">
        <w:rPr>
          <w:rFonts w:ascii="Times New Roman" w:hAnsi="Times New Roman" w:cs="Times New Roman"/>
          <w:color w:val="000000" w:themeColor="text1"/>
          <w:sz w:val="24"/>
          <w:szCs w:val="24"/>
        </w:rPr>
        <w:t>R&amp;I</w:t>
      </w:r>
      <w:proofErr w:type="gramEnd"/>
      <w:r w:rsidR="002A07E8" w:rsidRPr="00443CA8">
        <w:rPr>
          <w:rFonts w:ascii="Times New Roman" w:hAnsi="Times New Roman" w:cs="Times New Roman"/>
          <w:color w:val="000000" w:themeColor="text1"/>
          <w:sz w:val="24"/>
          <w:szCs w:val="24"/>
        </w:rPr>
        <w:t xml:space="preserve"> expenditure. Cohesion Policy, the Connecting Europe Facility, the Common Agricultural Policy, Digital Europe and the R</w:t>
      </w:r>
      <w:r w:rsidR="00221424">
        <w:rPr>
          <w:rFonts w:ascii="Times New Roman" w:hAnsi="Times New Roman" w:cs="Times New Roman"/>
          <w:color w:val="000000" w:themeColor="text1"/>
          <w:sz w:val="24"/>
          <w:szCs w:val="24"/>
        </w:rPr>
        <w:t xml:space="preserve">ecovery and </w:t>
      </w:r>
      <w:r w:rsidR="002A07E8" w:rsidRPr="00443CA8">
        <w:rPr>
          <w:rFonts w:ascii="Times New Roman" w:hAnsi="Times New Roman" w:cs="Times New Roman"/>
          <w:color w:val="000000" w:themeColor="text1"/>
          <w:sz w:val="24"/>
          <w:szCs w:val="24"/>
        </w:rPr>
        <w:t>R</w:t>
      </w:r>
      <w:r w:rsidR="00221424">
        <w:rPr>
          <w:rFonts w:ascii="Times New Roman" w:hAnsi="Times New Roman" w:cs="Times New Roman"/>
          <w:color w:val="000000" w:themeColor="text1"/>
          <w:sz w:val="24"/>
          <w:szCs w:val="24"/>
        </w:rPr>
        <w:t xml:space="preserve">esilience </w:t>
      </w:r>
      <w:r w:rsidR="002A07E8" w:rsidRPr="00443CA8">
        <w:rPr>
          <w:rFonts w:ascii="Times New Roman" w:hAnsi="Times New Roman" w:cs="Times New Roman"/>
          <w:color w:val="000000" w:themeColor="text1"/>
          <w:sz w:val="24"/>
          <w:szCs w:val="24"/>
        </w:rPr>
        <w:t>F</w:t>
      </w:r>
      <w:r w:rsidR="00221424">
        <w:rPr>
          <w:rFonts w:ascii="Times New Roman" w:hAnsi="Times New Roman" w:cs="Times New Roman"/>
          <w:color w:val="000000" w:themeColor="text1"/>
          <w:sz w:val="24"/>
          <w:szCs w:val="24"/>
        </w:rPr>
        <w:t>acility</w:t>
      </w:r>
      <w:r w:rsidR="002A07E8" w:rsidRPr="00443CA8">
        <w:rPr>
          <w:rFonts w:ascii="Times New Roman" w:hAnsi="Times New Roman" w:cs="Times New Roman"/>
          <w:color w:val="000000" w:themeColor="text1"/>
          <w:sz w:val="24"/>
          <w:szCs w:val="24"/>
        </w:rPr>
        <w:t xml:space="preserve"> will play an essential role in delivering transition on the ground</w:t>
      </w:r>
      <w:r w:rsidR="002A07E8">
        <w:rPr>
          <w:rFonts w:ascii="Times New Roman" w:hAnsi="Times New Roman" w:cs="Times New Roman"/>
          <w:color w:val="000000" w:themeColor="text1"/>
          <w:sz w:val="24"/>
          <w:szCs w:val="24"/>
        </w:rPr>
        <w:t>.</w:t>
      </w:r>
    </w:p>
    <w:p w14:paraId="5544E289" w14:textId="715AC07B" w:rsidR="000636AE" w:rsidRPr="006340BE" w:rsidRDefault="000636AE" w:rsidP="00F74968">
      <w:pPr>
        <w:pStyle w:val="ListParagraph"/>
        <w:spacing w:before="120" w:after="0" w:line="240" w:lineRule="auto"/>
        <w:rPr>
          <w:rFonts w:ascii="Times New Roman" w:hAnsi="Times New Roman" w:cs="Times New Roman"/>
          <w:color w:val="000000" w:themeColor="text1"/>
          <w:sz w:val="24"/>
          <w:szCs w:val="24"/>
        </w:rPr>
      </w:pPr>
    </w:p>
    <w:p w14:paraId="4EEB4154" w14:textId="63E5BE07" w:rsidR="00640250" w:rsidRPr="006340BE" w:rsidRDefault="00C317DF" w:rsidP="00F74968">
      <w:pPr>
        <w:pStyle w:val="ListParagraph"/>
        <w:numPr>
          <w:ilvl w:val="0"/>
          <w:numId w:val="8"/>
        </w:num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Third</w:t>
      </w:r>
      <w:r w:rsidR="00AB65EA" w:rsidRPr="006340BE">
        <w:rPr>
          <w:rFonts w:ascii="Times New Roman" w:hAnsi="Times New Roman" w:cs="Times New Roman"/>
          <w:color w:val="000000" w:themeColor="text1"/>
          <w:sz w:val="24"/>
          <w:szCs w:val="24"/>
        </w:rPr>
        <w:t>,</w:t>
      </w:r>
      <w:r w:rsidRPr="006340BE">
        <w:rPr>
          <w:rFonts w:ascii="Times New Roman" w:hAnsi="Times New Roman" w:cs="Times New Roman"/>
          <w:color w:val="000000" w:themeColor="text1"/>
          <w:sz w:val="24"/>
          <w:szCs w:val="24"/>
        </w:rPr>
        <w:t xml:space="preserve"> th</w:t>
      </w:r>
      <w:r w:rsidR="00AB65EA" w:rsidRPr="006340BE">
        <w:rPr>
          <w:rFonts w:ascii="Times New Roman" w:hAnsi="Times New Roman" w:cs="Times New Roman"/>
          <w:color w:val="000000" w:themeColor="text1"/>
          <w:sz w:val="24"/>
          <w:szCs w:val="24"/>
        </w:rPr>
        <w:t>r</w:t>
      </w:r>
      <w:r w:rsidRPr="006340BE">
        <w:rPr>
          <w:rFonts w:ascii="Times New Roman" w:hAnsi="Times New Roman" w:cs="Times New Roman"/>
          <w:color w:val="000000" w:themeColor="text1"/>
          <w:sz w:val="24"/>
          <w:szCs w:val="24"/>
        </w:rPr>
        <w:t>ough</w:t>
      </w:r>
      <w:r w:rsidR="001C6784" w:rsidRPr="006340BE">
        <w:rPr>
          <w:rFonts w:ascii="Times New Roman" w:hAnsi="Times New Roman" w:cs="Times New Roman"/>
          <w:color w:val="000000" w:themeColor="text1"/>
          <w:sz w:val="24"/>
          <w:szCs w:val="24"/>
        </w:rPr>
        <w:t xml:space="preserve"> engaging in</w:t>
      </w:r>
      <w:r w:rsidRPr="006340BE">
        <w:rPr>
          <w:rFonts w:ascii="Times New Roman" w:hAnsi="Times New Roman" w:cs="Times New Roman"/>
          <w:color w:val="000000" w:themeColor="text1"/>
          <w:sz w:val="24"/>
          <w:szCs w:val="24"/>
        </w:rPr>
        <w:t xml:space="preserve"> Horizon Europe </w:t>
      </w:r>
      <w:r w:rsidR="00387000" w:rsidRPr="006340BE">
        <w:rPr>
          <w:rFonts w:ascii="Times New Roman" w:hAnsi="Times New Roman" w:cs="Times New Roman"/>
          <w:iCs/>
          <w:color w:val="000000" w:themeColor="text1"/>
          <w:sz w:val="24"/>
          <w:szCs w:val="24"/>
        </w:rPr>
        <w:t>M</w:t>
      </w:r>
      <w:r w:rsidR="00380EF2" w:rsidRPr="006340BE">
        <w:rPr>
          <w:rFonts w:ascii="Times New Roman" w:hAnsi="Times New Roman" w:cs="Times New Roman"/>
          <w:iCs/>
          <w:color w:val="000000" w:themeColor="text1"/>
          <w:sz w:val="24"/>
          <w:szCs w:val="24"/>
        </w:rPr>
        <w:t>issions</w:t>
      </w:r>
      <w:r w:rsidR="00380EF2" w:rsidRPr="006340BE">
        <w:rPr>
          <w:rFonts w:ascii="Times New Roman" w:hAnsi="Times New Roman" w:cs="Times New Roman"/>
          <w:color w:val="000000" w:themeColor="text1"/>
          <w:sz w:val="24"/>
          <w:szCs w:val="24"/>
        </w:rPr>
        <w:t xml:space="preserve"> </w:t>
      </w:r>
      <w:r w:rsidR="008072BB" w:rsidRPr="006340BE">
        <w:rPr>
          <w:rFonts w:ascii="Times New Roman" w:hAnsi="Times New Roman" w:cs="Times New Roman"/>
          <w:color w:val="000000" w:themeColor="text1"/>
          <w:sz w:val="24"/>
          <w:szCs w:val="24"/>
        </w:rPr>
        <w:t xml:space="preserve">and Partnerships </w:t>
      </w:r>
      <w:r w:rsidRPr="00754C9D">
        <w:rPr>
          <w:rFonts w:ascii="Times New Roman" w:hAnsi="Times New Roman" w:cs="Times New Roman"/>
          <w:color w:val="000000" w:themeColor="text1"/>
          <w:sz w:val="24"/>
          <w:szCs w:val="24"/>
          <w:highlight w:val="yellow"/>
        </w:rPr>
        <w:t>to support the</w:t>
      </w:r>
      <w:r w:rsidR="00B77CF4" w:rsidRPr="00754C9D">
        <w:rPr>
          <w:rFonts w:ascii="Times New Roman" w:hAnsi="Times New Roman"/>
          <w:color w:val="000000" w:themeColor="text1"/>
          <w:sz w:val="24"/>
          <w:szCs w:val="24"/>
          <w:highlight w:val="yellow"/>
        </w:rPr>
        <w:t xml:space="preserve"> </w:t>
      </w:r>
      <w:r w:rsidR="00FC1BC8" w:rsidRPr="00754C9D">
        <w:rPr>
          <w:rFonts w:ascii="Times New Roman" w:hAnsi="Times New Roman" w:cs="Times New Roman"/>
          <w:color w:val="000000" w:themeColor="text1"/>
          <w:sz w:val="24"/>
          <w:szCs w:val="24"/>
          <w:highlight w:val="yellow"/>
        </w:rPr>
        <w:t>align</w:t>
      </w:r>
      <w:r w:rsidRPr="00754C9D">
        <w:rPr>
          <w:rFonts w:ascii="Times New Roman" w:hAnsi="Times New Roman" w:cs="Times New Roman"/>
          <w:color w:val="000000" w:themeColor="text1"/>
          <w:sz w:val="24"/>
          <w:szCs w:val="24"/>
          <w:highlight w:val="yellow"/>
        </w:rPr>
        <w:t xml:space="preserve">ment of </w:t>
      </w:r>
      <w:r w:rsidR="00FC1BC8" w:rsidRPr="00754C9D">
        <w:rPr>
          <w:rFonts w:ascii="Times New Roman" w:hAnsi="Times New Roman" w:cs="Times New Roman"/>
          <w:color w:val="000000" w:themeColor="text1"/>
          <w:sz w:val="24"/>
          <w:szCs w:val="24"/>
          <w:highlight w:val="yellow"/>
        </w:rPr>
        <w:t xml:space="preserve">national strategies and </w:t>
      </w:r>
      <w:r w:rsidR="00B77CF4" w:rsidRPr="00754C9D">
        <w:rPr>
          <w:rFonts w:ascii="Times New Roman" w:hAnsi="Times New Roman" w:cs="Times New Roman"/>
          <w:color w:val="000000" w:themeColor="text1"/>
          <w:sz w:val="24"/>
          <w:szCs w:val="24"/>
          <w:highlight w:val="yellow"/>
        </w:rPr>
        <w:t>industrial</w:t>
      </w:r>
      <w:r w:rsidR="002A07E8" w:rsidRPr="00754C9D">
        <w:rPr>
          <w:rFonts w:ascii="Times New Roman" w:hAnsi="Times New Roman" w:cs="Times New Roman"/>
          <w:color w:val="000000" w:themeColor="text1"/>
          <w:sz w:val="24"/>
          <w:szCs w:val="24"/>
          <w:highlight w:val="yellow"/>
        </w:rPr>
        <w:t xml:space="preserve"> and business</w:t>
      </w:r>
      <w:r w:rsidR="00B77CF4" w:rsidRPr="00754C9D">
        <w:rPr>
          <w:rFonts w:ascii="Times New Roman" w:hAnsi="Times New Roman" w:cs="Times New Roman"/>
          <w:color w:val="000000" w:themeColor="text1"/>
          <w:sz w:val="24"/>
          <w:szCs w:val="24"/>
          <w:highlight w:val="yellow"/>
        </w:rPr>
        <w:t xml:space="preserve"> </w:t>
      </w:r>
      <w:r w:rsidR="00FC1BC8" w:rsidRPr="00754C9D">
        <w:rPr>
          <w:rFonts w:ascii="Times New Roman" w:hAnsi="Times New Roman" w:cs="Times New Roman"/>
          <w:color w:val="000000" w:themeColor="text1"/>
          <w:sz w:val="24"/>
          <w:szCs w:val="24"/>
          <w:highlight w:val="yellow"/>
        </w:rPr>
        <w:t>investments towards common EU objectives.</w:t>
      </w:r>
      <w:r w:rsidR="00FC1BC8" w:rsidRPr="006340BE">
        <w:rPr>
          <w:rFonts w:ascii="Times New Roman" w:hAnsi="Times New Roman" w:cs="Times New Roman"/>
          <w:color w:val="000000" w:themeColor="text1"/>
          <w:sz w:val="24"/>
          <w:szCs w:val="24"/>
        </w:rPr>
        <w:t xml:space="preserve"> </w:t>
      </w:r>
      <w:r w:rsidR="00AB65EA" w:rsidRPr="006340BE">
        <w:rPr>
          <w:rFonts w:ascii="Times New Roman" w:hAnsi="Times New Roman" w:cs="Times New Roman"/>
          <w:color w:val="000000" w:themeColor="text1"/>
          <w:sz w:val="24"/>
          <w:szCs w:val="24"/>
        </w:rPr>
        <w:t xml:space="preserve">In addition, </w:t>
      </w:r>
      <w:r w:rsidR="00DE212E" w:rsidRPr="006340BE">
        <w:rPr>
          <w:rFonts w:ascii="Times New Roman" w:hAnsi="Times New Roman" w:cs="Times New Roman"/>
          <w:color w:val="000000" w:themeColor="text1"/>
          <w:sz w:val="24"/>
          <w:szCs w:val="24"/>
        </w:rPr>
        <w:t>R&amp;I</w:t>
      </w:r>
      <w:r w:rsidR="00FC1BC8" w:rsidRPr="006340BE">
        <w:rPr>
          <w:rFonts w:ascii="Times New Roman" w:hAnsi="Times New Roman" w:cs="Times New Roman"/>
          <w:color w:val="000000" w:themeColor="text1"/>
          <w:sz w:val="24"/>
          <w:szCs w:val="24"/>
        </w:rPr>
        <w:t xml:space="preserve"> </w:t>
      </w:r>
      <w:r w:rsidR="005246E6" w:rsidRPr="006340BE">
        <w:rPr>
          <w:rFonts w:ascii="Times New Roman" w:hAnsi="Times New Roman" w:cs="Times New Roman"/>
          <w:color w:val="000000" w:themeColor="text1"/>
          <w:sz w:val="24"/>
          <w:szCs w:val="24"/>
        </w:rPr>
        <w:t xml:space="preserve">partnerships between the EU, its Member States and </w:t>
      </w:r>
      <w:r w:rsidR="00057B07" w:rsidRPr="006340BE">
        <w:rPr>
          <w:rFonts w:ascii="Times New Roman" w:hAnsi="Times New Roman" w:cs="Times New Roman"/>
          <w:color w:val="000000" w:themeColor="text1"/>
          <w:sz w:val="24"/>
          <w:szCs w:val="24"/>
        </w:rPr>
        <w:t>industrial stakeholders</w:t>
      </w:r>
      <w:r w:rsidR="00924F60" w:rsidRPr="006340BE">
        <w:rPr>
          <w:rFonts w:ascii="Times New Roman" w:hAnsi="Times New Roman" w:cs="Times New Roman"/>
          <w:color w:val="000000" w:themeColor="text1"/>
          <w:sz w:val="24"/>
          <w:szCs w:val="24"/>
        </w:rPr>
        <w:t>, such as the Joint Undertakings on Hydrogen or on Microelectronics,</w:t>
      </w:r>
      <w:r w:rsidR="00057B07" w:rsidRPr="006340BE">
        <w:rPr>
          <w:rFonts w:ascii="Times New Roman" w:hAnsi="Times New Roman" w:cs="Times New Roman"/>
          <w:color w:val="000000" w:themeColor="text1"/>
          <w:sz w:val="24"/>
          <w:szCs w:val="24"/>
        </w:rPr>
        <w:t xml:space="preserve"> </w:t>
      </w:r>
      <w:r w:rsidR="005246E6" w:rsidRPr="006340BE">
        <w:rPr>
          <w:rFonts w:ascii="Times New Roman" w:hAnsi="Times New Roman" w:cs="Times New Roman"/>
          <w:color w:val="000000" w:themeColor="text1"/>
          <w:sz w:val="24"/>
          <w:szCs w:val="24"/>
        </w:rPr>
        <w:t xml:space="preserve">have become </w:t>
      </w:r>
      <w:r w:rsidR="00FC1BC8" w:rsidRPr="006340BE">
        <w:rPr>
          <w:rFonts w:ascii="Times New Roman" w:hAnsi="Times New Roman" w:cs="Times New Roman"/>
          <w:color w:val="000000" w:themeColor="text1"/>
          <w:sz w:val="24"/>
          <w:szCs w:val="24"/>
        </w:rPr>
        <w:t xml:space="preserve">a well-established </w:t>
      </w:r>
      <w:r w:rsidR="005246E6" w:rsidRPr="006340BE">
        <w:rPr>
          <w:rFonts w:ascii="Times New Roman" w:hAnsi="Times New Roman" w:cs="Times New Roman"/>
          <w:color w:val="000000" w:themeColor="text1"/>
          <w:sz w:val="24"/>
          <w:szCs w:val="24"/>
        </w:rPr>
        <w:t>tool of the Framework Programmes</w:t>
      </w:r>
      <w:r w:rsidR="00DE212E" w:rsidRPr="006340BE">
        <w:rPr>
          <w:rStyle w:val="FootnoteReference"/>
          <w:rFonts w:ascii="Times New Roman" w:hAnsi="Times New Roman" w:cs="Times New Roman"/>
          <w:color w:val="000000" w:themeColor="text1"/>
          <w:sz w:val="24"/>
          <w:szCs w:val="24"/>
        </w:rPr>
        <w:footnoteReference w:id="29"/>
      </w:r>
      <w:r w:rsidR="006767EC" w:rsidRPr="006340BE">
        <w:rPr>
          <w:rFonts w:ascii="Times New Roman" w:hAnsi="Times New Roman" w:cs="Times New Roman"/>
          <w:color w:val="000000" w:themeColor="text1"/>
          <w:sz w:val="24"/>
          <w:szCs w:val="24"/>
        </w:rPr>
        <w:t xml:space="preserve"> to pool resources towards common objectives</w:t>
      </w:r>
      <w:r w:rsidR="005246E6" w:rsidRPr="006340BE">
        <w:rPr>
          <w:rFonts w:ascii="Times New Roman" w:hAnsi="Times New Roman" w:cs="Times New Roman"/>
          <w:color w:val="000000" w:themeColor="text1"/>
          <w:sz w:val="24"/>
          <w:szCs w:val="24"/>
        </w:rPr>
        <w:t xml:space="preserve">. </w:t>
      </w:r>
    </w:p>
    <w:p w14:paraId="2817861F" w14:textId="425DEAB1" w:rsidR="004E368A" w:rsidRPr="00F47063" w:rsidRDefault="00AB65EA" w:rsidP="00F74968">
      <w:pPr>
        <w:pStyle w:val="NormalWeb"/>
        <w:spacing w:before="120" w:beforeAutospacing="0" w:after="0" w:afterAutospacing="0"/>
        <w:jc w:val="both"/>
      </w:pPr>
      <w:r w:rsidRPr="007A78F6">
        <w:rPr>
          <w:highlight w:val="yellow"/>
          <w:lang w:val="en-GB"/>
        </w:rPr>
        <w:t>T</w:t>
      </w:r>
      <w:r w:rsidRPr="007A78F6">
        <w:rPr>
          <w:highlight w:val="yellow"/>
        </w:rPr>
        <w:t xml:space="preserve">o deliver on the twin transition, </w:t>
      </w:r>
      <w:r w:rsidRPr="007A78F6">
        <w:rPr>
          <w:rFonts w:eastAsiaTheme="minorHAnsi"/>
          <w:highlight w:val="yellow"/>
          <w:lang w:val="en-GB"/>
        </w:rPr>
        <w:t xml:space="preserve">the </w:t>
      </w:r>
      <w:r w:rsidR="000B0A82" w:rsidRPr="007A78F6">
        <w:rPr>
          <w:rFonts w:eastAsiaTheme="minorHAnsi"/>
          <w:highlight w:val="yellow"/>
          <w:lang w:val="en-GB"/>
        </w:rPr>
        <w:t xml:space="preserve">Commission </w:t>
      </w:r>
      <w:r w:rsidR="00924F60" w:rsidRPr="007A78F6">
        <w:rPr>
          <w:rFonts w:eastAsiaTheme="minorHAnsi"/>
          <w:highlight w:val="yellow"/>
          <w:lang w:val="en-GB"/>
        </w:rPr>
        <w:t>is ready</w:t>
      </w:r>
      <w:r w:rsidR="00924F60" w:rsidRPr="007A78F6">
        <w:rPr>
          <w:highlight w:val="yellow"/>
        </w:rPr>
        <w:t xml:space="preserve"> </w:t>
      </w:r>
      <w:r w:rsidR="00AE72B7" w:rsidRPr="007A78F6">
        <w:rPr>
          <w:highlight w:val="yellow"/>
        </w:rPr>
        <w:t xml:space="preserve">to </w:t>
      </w:r>
      <w:r w:rsidR="00F93896" w:rsidRPr="007A78F6">
        <w:rPr>
          <w:highlight w:val="yellow"/>
        </w:rPr>
        <w:t xml:space="preserve">support </w:t>
      </w:r>
      <w:r w:rsidR="000B0A82" w:rsidRPr="007A78F6">
        <w:rPr>
          <w:highlight w:val="yellow"/>
        </w:rPr>
        <w:t>Member States</w:t>
      </w:r>
      <w:r w:rsidR="00D72CB8" w:rsidRPr="007A78F6">
        <w:rPr>
          <w:highlight w:val="yellow"/>
        </w:rPr>
        <w:t xml:space="preserve"> </w:t>
      </w:r>
      <w:r w:rsidR="00D83E06" w:rsidRPr="007A78F6">
        <w:rPr>
          <w:highlight w:val="yellow"/>
        </w:rPr>
        <w:t xml:space="preserve">in </w:t>
      </w:r>
      <w:r w:rsidR="000636AE" w:rsidRPr="007A78F6">
        <w:rPr>
          <w:highlight w:val="yellow"/>
        </w:rPr>
        <w:t>th</w:t>
      </w:r>
      <w:r w:rsidRPr="007A78F6">
        <w:rPr>
          <w:highlight w:val="yellow"/>
        </w:rPr>
        <w:t xml:space="preserve">e </w:t>
      </w:r>
      <w:proofErr w:type="spellStart"/>
      <w:r w:rsidRPr="007A78F6">
        <w:rPr>
          <w:highlight w:val="yellow"/>
        </w:rPr>
        <w:t>prioriti</w:t>
      </w:r>
      <w:r w:rsidR="001A2B70" w:rsidRPr="007A78F6">
        <w:rPr>
          <w:highlight w:val="yellow"/>
        </w:rPr>
        <w:t>s</w:t>
      </w:r>
      <w:r w:rsidRPr="007A78F6">
        <w:rPr>
          <w:highlight w:val="yellow"/>
        </w:rPr>
        <w:t>ation</w:t>
      </w:r>
      <w:proofErr w:type="spellEnd"/>
      <w:r w:rsidRPr="007A78F6">
        <w:rPr>
          <w:highlight w:val="yellow"/>
        </w:rPr>
        <w:t xml:space="preserve"> of national f</w:t>
      </w:r>
      <w:r w:rsidR="000C38CB" w:rsidRPr="007A78F6">
        <w:rPr>
          <w:highlight w:val="yellow"/>
        </w:rPr>
        <w:t>u</w:t>
      </w:r>
      <w:r w:rsidRPr="007A78F6">
        <w:rPr>
          <w:highlight w:val="yellow"/>
        </w:rPr>
        <w:t xml:space="preserve">nding between countries and with the EU. The </w:t>
      </w:r>
      <w:r w:rsidR="005D0255" w:rsidRPr="007A78F6">
        <w:rPr>
          <w:i/>
          <w:iCs/>
          <w:highlight w:val="yellow"/>
        </w:rPr>
        <w:t>ERA Forum for Transition</w:t>
      </w:r>
      <w:r w:rsidR="000B0A82" w:rsidRPr="007A78F6">
        <w:rPr>
          <w:highlight w:val="yellow"/>
        </w:rPr>
        <w:t xml:space="preserve"> </w:t>
      </w:r>
      <w:r w:rsidR="000C38CB" w:rsidRPr="007A78F6">
        <w:rPr>
          <w:highlight w:val="yellow"/>
        </w:rPr>
        <w:t xml:space="preserve">is </w:t>
      </w:r>
      <w:r w:rsidR="00EE64D6" w:rsidRPr="007A78F6">
        <w:rPr>
          <w:highlight w:val="yellow"/>
        </w:rPr>
        <w:t xml:space="preserve">a Commission-driven forum for discussion with Member States </w:t>
      </w:r>
      <w:r w:rsidR="00127FA8" w:rsidRPr="007A78F6">
        <w:rPr>
          <w:highlight w:val="yellow"/>
        </w:rPr>
        <w:t xml:space="preserve">of </w:t>
      </w:r>
      <w:r w:rsidR="00EE64D6" w:rsidRPr="007A78F6">
        <w:rPr>
          <w:highlight w:val="yellow"/>
        </w:rPr>
        <w:t xml:space="preserve">the </w:t>
      </w:r>
      <w:r w:rsidR="001A2B70" w:rsidRPr="007A78F6">
        <w:rPr>
          <w:highlight w:val="yellow"/>
        </w:rPr>
        <w:t>four</w:t>
      </w:r>
      <w:r w:rsidR="00EE64D6" w:rsidRPr="007A78F6">
        <w:rPr>
          <w:highlight w:val="yellow"/>
        </w:rPr>
        <w:t xml:space="preserve"> priorities of the new European Research Area.</w:t>
      </w:r>
      <w:r w:rsidR="00EE64D6" w:rsidRPr="00F47063">
        <w:t xml:space="preserve"> This would help focus the new European Research Area process by working with the Member States to prepare the research and innovation angle of the national recovery plans, to </w:t>
      </w:r>
      <w:proofErr w:type="spellStart"/>
      <w:r w:rsidR="00EE64D6" w:rsidRPr="00F47063">
        <w:t>maximi</w:t>
      </w:r>
      <w:r w:rsidR="001A2B70">
        <w:t>s</w:t>
      </w:r>
      <w:r w:rsidR="00EE64D6" w:rsidRPr="00F47063">
        <w:t>e</w:t>
      </w:r>
      <w:proofErr w:type="spellEnd"/>
      <w:r w:rsidR="00EE64D6" w:rsidRPr="00F47063">
        <w:t xml:space="preserve"> the benefit from cohesion funds, to implement the industrial strategy through work on industrial ecosystems and to discuss </w:t>
      </w:r>
      <w:r w:rsidR="00EE64D6" w:rsidRPr="007A78F6">
        <w:rPr>
          <w:highlight w:val="yellow"/>
        </w:rPr>
        <w:t xml:space="preserve">regulatory and </w:t>
      </w:r>
      <w:proofErr w:type="spellStart"/>
      <w:r w:rsidR="00EE64D6" w:rsidRPr="007A78F6">
        <w:rPr>
          <w:highlight w:val="yellow"/>
        </w:rPr>
        <w:t>non regulatory</w:t>
      </w:r>
      <w:proofErr w:type="spellEnd"/>
      <w:r w:rsidR="00EE64D6" w:rsidRPr="007A78F6">
        <w:rPr>
          <w:highlight w:val="yellow"/>
        </w:rPr>
        <w:t xml:space="preserve"> initiatives to create a </w:t>
      </w:r>
      <w:proofErr w:type="spellStart"/>
      <w:r w:rsidR="001B2C6F" w:rsidRPr="007A78F6">
        <w:rPr>
          <w:highlight w:val="yellow"/>
        </w:rPr>
        <w:t>favo</w:t>
      </w:r>
      <w:r w:rsidR="001A2B70" w:rsidRPr="007A78F6">
        <w:rPr>
          <w:highlight w:val="yellow"/>
        </w:rPr>
        <w:t>u</w:t>
      </w:r>
      <w:r w:rsidR="001B2C6F" w:rsidRPr="007A78F6">
        <w:rPr>
          <w:highlight w:val="yellow"/>
        </w:rPr>
        <w:t>rable</w:t>
      </w:r>
      <w:proofErr w:type="spellEnd"/>
      <w:r w:rsidR="00EE64D6" w:rsidRPr="007A78F6">
        <w:rPr>
          <w:highlight w:val="yellow"/>
        </w:rPr>
        <w:t xml:space="preserve"> framework for research and innovation in the EU</w:t>
      </w:r>
      <w:r w:rsidR="00EE64D6" w:rsidRPr="00F47063">
        <w:t>.</w:t>
      </w:r>
      <w:r w:rsidR="000C38CB" w:rsidRPr="00F47063">
        <w:t xml:space="preserve"> It </w:t>
      </w:r>
      <w:r w:rsidRPr="00F47063">
        <w:t xml:space="preserve">will </w:t>
      </w:r>
      <w:r w:rsidR="005D0255" w:rsidRPr="00F47063">
        <w:t xml:space="preserve">complement </w:t>
      </w:r>
      <w:r w:rsidR="00D83E06" w:rsidRPr="00F47063">
        <w:t>t</w:t>
      </w:r>
      <w:r w:rsidR="000B0A82" w:rsidRPr="00F47063">
        <w:t>h</w:t>
      </w:r>
      <w:r w:rsidR="006C1882" w:rsidRPr="00F47063">
        <w:t>e</w:t>
      </w:r>
      <w:r w:rsidR="000B0A82" w:rsidRPr="00F47063">
        <w:t xml:space="preserve"> Horizon Europe Strategic Programming process</w:t>
      </w:r>
      <w:r w:rsidR="005D0255" w:rsidRPr="00F47063">
        <w:t xml:space="preserve"> </w:t>
      </w:r>
      <w:r w:rsidRPr="00F47063">
        <w:t xml:space="preserve">and offer a platform for the development of ambitious joint policy and funding actions in strategic areas and their alignment with other policies. </w:t>
      </w:r>
      <w:r w:rsidR="004E368A" w:rsidRPr="004E368A">
        <w:t>The forum would also address issues linked to implementation of R&amp;I policies at national and regional levels, by bringing together the Commission and Member State bodies responsible for R&amp;I funding – including authorities managing cohesion policy – to ensure synergies across all relevant funding sources</w:t>
      </w:r>
      <w:r w:rsidR="004E368A">
        <w:t>.</w:t>
      </w:r>
    </w:p>
    <w:p w14:paraId="133411E8" w14:textId="3401EC90" w:rsidR="005246E6" w:rsidRPr="007A78F6" w:rsidRDefault="005246E6" w:rsidP="00F7496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highlight w:val="yellow"/>
        </w:rPr>
      </w:pPr>
      <w:r w:rsidRPr="007A78F6">
        <w:rPr>
          <w:rFonts w:ascii="Times New Roman" w:hAnsi="Times New Roman" w:cs="Times New Roman"/>
          <w:color w:val="000000" w:themeColor="text1"/>
          <w:sz w:val="24"/>
          <w:szCs w:val="24"/>
          <w:highlight w:val="yellow"/>
        </w:rPr>
        <w:t>The Commission:</w:t>
      </w:r>
    </w:p>
    <w:p w14:paraId="4F9FB5FD" w14:textId="7577CAEF" w:rsidR="005246E6" w:rsidRPr="007A78F6" w:rsidRDefault="005246E6" w:rsidP="00F74968">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contextualSpacing w:val="0"/>
        <w:jc w:val="both"/>
        <w:rPr>
          <w:rFonts w:ascii="Times New Roman" w:hAnsi="Times New Roman" w:cs="Times New Roman"/>
          <w:color w:val="000000" w:themeColor="text1"/>
          <w:sz w:val="24"/>
          <w:szCs w:val="24"/>
          <w:highlight w:val="yellow"/>
        </w:rPr>
      </w:pPr>
      <w:r w:rsidRPr="007A78F6">
        <w:rPr>
          <w:rFonts w:ascii="Times New Roman" w:hAnsi="Times New Roman" w:cs="Times New Roman"/>
          <w:color w:val="000000" w:themeColor="text1"/>
          <w:sz w:val="24"/>
          <w:szCs w:val="24"/>
          <w:highlight w:val="yellow"/>
        </w:rPr>
        <w:t>Propose</w:t>
      </w:r>
      <w:r w:rsidR="00CE06AA" w:rsidRPr="007A78F6">
        <w:rPr>
          <w:rFonts w:ascii="Times New Roman" w:hAnsi="Times New Roman" w:cs="Times New Roman"/>
          <w:color w:val="000000" w:themeColor="text1"/>
          <w:sz w:val="24"/>
          <w:szCs w:val="24"/>
          <w:highlight w:val="yellow"/>
        </w:rPr>
        <w:t>s</w:t>
      </w:r>
      <w:r w:rsidRPr="007A78F6">
        <w:rPr>
          <w:rFonts w:ascii="Times New Roman" w:hAnsi="Times New Roman" w:cs="Times New Roman"/>
          <w:color w:val="000000" w:themeColor="text1"/>
          <w:sz w:val="24"/>
          <w:szCs w:val="24"/>
          <w:highlight w:val="yellow"/>
        </w:rPr>
        <w:t xml:space="preserve"> </w:t>
      </w:r>
      <w:r w:rsidR="00CE06AA" w:rsidRPr="007A78F6">
        <w:rPr>
          <w:rFonts w:ascii="Times New Roman" w:hAnsi="Times New Roman" w:cs="Times New Roman"/>
          <w:color w:val="000000" w:themeColor="text1"/>
          <w:sz w:val="24"/>
          <w:szCs w:val="24"/>
          <w:highlight w:val="yellow"/>
        </w:rPr>
        <w:t xml:space="preserve">that Member States </w:t>
      </w:r>
      <w:r w:rsidRPr="007A78F6">
        <w:rPr>
          <w:rFonts w:ascii="Times New Roman" w:hAnsi="Times New Roman" w:cs="Times New Roman"/>
          <w:color w:val="000000" w:themeColor="text1"/>
          <w:sz w:val="24"/>
          <w:szCs w:val="24"/>
          <w:highlight w:val="yellow"/>
        </w:rPr>
        <w:t xml:space="preserve">re-affirm the 3% </w:t>
      </w:r>
      <w:r w:rsidR="002F6962" w:rsidRPr="007A78F6">
        <w:rPr>
          <w:rFonts w:ascii="Times New Roman" w:hAnsi="Times New Roman" w:cs="Times New Roman"/>
          <w:color w:val="000000" w:themeColor="text1"/>
          <w:sz w:val="24"/>
          <w:szCs w:val="24"/>
          <w:highlight w:val="yellow"/>
        </w:rPr>
        <w:t xml:space="preserve">EU </w:t>
      </w:r>
      <w:r w:rsidRPr="007A78F6">
        <w:rPr>
          <w:rFonts w:ascii="Times New Roman" w:hAnsi="Times New Roman" w:cs="Times New Roman"/>
          <w:color w:val="000000" w:themeColor="text1"/>
          <w:sz w:val="24"/>
          <w:szCs w:val="24"/>
          <w:highlight w:val="yellow"/>
        </w:rPr>
        <w:t xml:space="preserve">GDP </w:t>
      </w:r>
      <w:r w:rsidR="002F6962" w:rsidRPr="007A78F6">
        <w:rPr>
          <w:rFonts w:ascii="Times New Roman" w:hAnsi="Times New Roman" w:cs="Times New Roman"/>
          <w:color w:val="000000" w:themeColor="text1"/>
          <w:sz w:val="24"/>
          <w:szCs w:val="24"/>
          <w:highlight w:val="yellow"/>
        </w:rPr>
        <w:t>R&amp;D</w:t>
      </w:r>
      <w:r w:rsidRPr="007A78F6">
        <w:rPr>
          <w:rFonts w:ascii="Times New Roman" w:hAnsi="Times New Roman" w:cs="Times New Roman"/>
          <w:color w:val="000000" w:themeColor="text1"/>
          <w:sz w:val="24"/>
          <w:szCs w:val="24"/>
          <w:highlight w:val="yellow"/>
        </w:rPr>
        <w:t xml:space="preserve"> investment target </w:t>
      </w:r>
      <w:r w:rsidR="00314A1E" w:rsidRPr="007A78F6">
        <w:rPr>
          <w:rFonts w:ascii="Times New Roman" w:hAnsi="Times New Roman" w:cs="Times New Roman"/>
          <w:color w:val="000000" w:themeColor="text1"/>
          <w:sz w:val="24"/>
          <w:szCs w:val="24"/>
          <w:highlight w:val="yellow"/>
        </w:rPr>
        <w:t>and update it to reflect new EU priorities</w:t>
      </w:r>
      <w:r w:rsidR="00CF6F8E" w:rsidRPr="007A78F6">
        <w:rPr>
          <w:rFonts w:ascii="Times New Roman" w:hAnsi="Times New Roman" w:cs="Times New Roman"/>
          <w:color w:val="000000" w:themeColor="text1"/>
          <w:sz w:val="24"/>
          <w:szCs w:val="24"/>
          <w:highlight w:val="yellow"/>
        </w:rPr>
        <w:t xml:space="preserve">, including </w:t>
      </w:r>
      <w:r w:rsidR="00314A1E" w:rsidRPr="007A78F6">
        <w:rPr>
          <w:rFonts w:ascii="Times New Roman" w:hAnsi="Times New Roman" w:cs="Times New Roman"/>
          <w:color w:val="000000" w:themeColor="text1"/>
          <w:sz w:val="24"/>
          <w:szCs w:val="24"/>
          <w:highlight w:val="yellow"/>
        </w:rPr>
        <w:t xml:space="preserve">a new 1.25% </w:t>
      </w:r>
      <w:r w:rsidR="002F6962" w:rsidRPr="007A78F6">
        <w:rPr>
          <w:rFonts w:ascii="Times New Roman" w:hAnsi="Times New Roman" w:cs="Times New Roman"/>
          <w:color w:val="000000" w:themeColor="text1"/>
          <w:sz w:val="24"/>
          <w:szCs w:val="24"/>
          <w:highlight w:val="yellow"/>
        </w:rPr>
        <w:t xml:space="preserve">EU </w:t>
      </w:r>
      <w:r w:rsidR="00314A1E" w:rsidRPr="007A78F6">
        <w:rPr>
          <w:rFonts w:ascii="Times New Roman" w:hAnsi="Times New Roman" w:cs="Times New Roman"/>
          <w:color w:val="000000" w:themeColor="text1"/>
          <w:sz w:val="24"/>
          <w:szCs w:val="24"/>
          <w:highlight w:val="yellow"/>
        </w:rPr>
        <w:t xml:space="preserve">GDP public effort target to be achieved by </w:t>
      </w:r>
      <w:r w:rsidR="00AB65EA" w:rsidRPr="007A78F6">
        <w:rPr>
          <w:rFonts w:ascii="Times New Roman" w:hAnsi="Times New Roman" w:cs="Times New Roman"/>
          <w:color w:val="000000" w:themeColor="text1"/>
          <w:sz w:val="24"/>
          <w:szCs w:val="24"/>
          <w:highlight w:val="yellow"/>
        </w:rPr>
        <w:t xml:space="preserve">Member States by </w:t>
      </w:r>
      <w:r w:rsidR="00314A1E" w:rsidRPr="007A78F6">
        <w:rPr>
          <w:rFonts w:ascii="Times New Roman" w:hAnsi="Times New Roman" w:cs="Times New Roman"/>
          <w:color w:val="000000" w:themeColor="text1"/>
          <w:sz w:val="24"/>
          <w:szCs w:val="24"/>
          <w:highlight w:val="yellow"/>
        </w:rPr>
        <w:t>2030 in an EU coordinated manner</w:t>
      </w:r>
      <w:r w:rsidR="00AB65EA" w:rsidRPr="007A78F6">
        <w:rPr>
          <w:rFonts w:ascii="Times New Roman" w:hAnsi="Times New Roman" w:cs="Times New Roman"/>
          <w:color w:val="000000" w:themeColor="text1"/>
          <w:sz w:val="24"/>
          <w:szCs w:val="24"/>
          <w:highlight w:val="yellow"/>
        </w:rPr>
        <w:t>, to leverage and incentivise private investments</w:t>
      </w:r>
      <w:r w:rsidR="00314A1E" w:rsidRPr="007A78F6">
        <w:rPr>
          <w:rFonts w:ascii="Times New Roman" w:hAnsi="Times New Roman" w:cs="Times New Roman"/>
          <w:color w:val="000000" w:themeColor="text1"/>
          <w:sz w:val="24"/>
          <w:szCs w:val="24"/>
          <w:highlight w:val="yellow"/>
        </w:rPr>
        <w:t>.</w:t>
      </w:r>
    </w:p>
    <w:p w14:paraId="37B6BF66" w14:textId="0D518A7E" w:rsidR="008E4E7A" w:rsidRPr="007A78F6" w:rsidRDefault="00AB65EA" w:rsidP="00F74968">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contextualSpacing w:val="0"/>
        <w:jc w:val="both"/>
        <w:rPr>
          <w:rFonts w:ascii="Times New Roman" w:hAnsi="Times New Roman" w:cs="Times New Roman"/>
          <w:color w:val="000000" w:themeColor="text1"/>
          <w:sz w:val="24"/>
          <w:szCs w:val="24"/>
          <w:highlight w:val="yellow"/>
        </w:rPr>
      </w:pPr>
      <w:r w:rsidRPr="007A78F6">
        <w:rPr>
          <w:rFonts w:ascii="Times New Roman" w:hAnsi="Times New Roman" w:cs="Times New Roman"/>
          <w:color w:val="000000" w:themeColor="text1"/>
          <w:sz w:val="24"/>
          <w:szCs w:val="24"/>
          <w:highlight w:val="yellow"/>
        </w:rPr>
        <w:t xml:space="preserve">Support Member States in </w:t>
      </w:r>
      <w:r w:rsidR="00CF6F8E" w:rsidRPr="007A78F6">
        <w:rPr>
          <w:rFonts w:ascii="Times New Roman" w:hAnsi="Times New Roman" w:cs="Times New Roman"/>
          <w:color w:val="000000" w:themeColor="text1"/>
          <w:sz w:val="24"/>
          <w:szCs w:val="24"/>
          <w:highlight w:val="yellow"/>
        </w:rPr>
        <w:t xml:space="preserve">the coordination </w:t>
      </w:r>
      <w:r w:rsidRPr="007A78F6">
        <w:rPr>
          <w:rFonts w:ascii="Times New Roman" w:hAnsi="Times New Roman" w:cs="Times New Roman"/>
          <w:color w:val="000000" w:themeColor="text1"/>
          <w:sz w:val="24"/>
          <w:szCs w:val="24"/>
          <w:highlight w:val="yellow"/>
        </w:rPr>
        <w:t xml:space="preserve">and prioritisation of national R&amp;I funding </w:t>
      </w:r>
      <w:r w:rsidR="00115688" w:rsidRPr="007A78F6">
        <w:rPr>
          <w:rFonts w:ascii="Times New Roman" w:hAnsi="Times New Roman" w:cs="Times New Roman"/>
          <w:color w:val="000000" w:themeColor="text1"/>
          <w:sz w:val="24"/>
          <w:szCs w:val="24"/>
          <w:highlight w:val="yellow"/>
        </w:rPr>
        <w:t>and reforms</w:t>
      </w:r>
      <w:r w:rsidR="00703C11" w:rsidRPr="007A78F6">
        <w:rPr>
          <w:rFonts w:ascii="Times New Roman" w:hAnsi="Times New Roman" w:cs="Times New Roman"/>
          <w:color w:val="000000" w:themeColor="text1"/>
          <w:sz w:val="24"/>
          <w:szCs w:val="24"/>
          <w:highlight w:val="yellow"/>
        </w:rPr>
        <w:t>,</w:t>
      </w:r>
      <w:r w:rsidR="00115688" w:rsidRPr="007A78F6">
        <w:rPr>
          <w:rFonts w:ascii="Times New Roman" w:hAnsi="Times New Roman" w:cs="Times New Roman"/>
          <w:color w:val="000000" w:themeColor="text1"/>
          <w:sz w:val="24"/>
          <w:szCs w:val="24"/>
          <w:highlight w:val="yellow"/>
        </w:rPr>
        <w:t xml:space="preserve"> </w:t>
      </w:r>
      <w:r w:rsidRPr="007A78F6">
        <w:rPr>
          <w:rFonts w:ascii="Times New Roman" w:hAnsi="Times New Roman" w:cs="Times New Roman"/>
          <w:color w:val="000000" w:themeColor="text1"/>
          <w:sz w:val="24"/>
          <w:szCs w:val="24"/>
          <w:highlight w:val="yellow"/>
        </w:rPr>
        <w:t>between countries and with the EU</w:t>
      </w:r>
      <w:r w:rsidR="00221424" w:rsidRPr="007A78F6">
        <w:rPr>
          <w:rFonts w:ascii="Times New Roman" w:hAnsi="Times New Roman" w:cs="Times New Roman"/>
          <w:color w:val="000000" w:themeColor="text1"/>
          <w:sz w:val="24"/>
          <w:szCs w:val="24"/>
          <w:highlight w:val="yellow"/>
        </w:rPr>
        <w:t>,</w:t>
      </w:r>
      <w:r w:rsidRPr="007A78F6">
        <w:rPr>
          <w:rFonts w:ascii="Times New Roman" w:hAnsi="Times New Roman" w:cs="Times New Roman"/>
          <w:color w:val="000000" w:themeColor="text1"/>
          <w:sz w:val="24"/>
          <w:szCs w:val="24"/>
          <w:highlight w:val="yellow"/>
        </w:rPr>
        <w:t xml:space="preserve"> through </w:t>
      </w:r>
      <w:r w:rsidR="00FF19F9" w:rsidRPr="007A78F6">
        <w:rPr>
          <w:rFonts w:ascii="Times New Roman" w:hAnsi="Times New Roman" w:cs="Times New Roman"/>
          <w:color w:val="000000" w:themeColor="text1"/>
          <w:sz w:val="24"/>
          <w:szCs w:val="24"/>
          <w:highlight w:val="yellow"/>
        </w:rPr>
        <w:t>dialogue</w:t>
      </w:r>
      <w:r w:rsidR="00221424" w:rsidRPr="007A78F6">
        <w:rPr>
          <w:rFonts w:ascii="Times New Roman" w:hAnsi="Times New Roman" w:cs="Times New Roman"/>
          <w:color w:val="000000" w:themeColor="text1"/>
          <w:sz w:val="24"/>
          <w:szCs w:val="24"/>
          <w:highlight w:val="yellow"/>
        </w:rPr>
        <w:t xml:space="preserve"> </w:t>
      </w:r>
      <w:r w:rsidR="00FF19F9" w:rsidRPr="007A78F6">
        <w:rPr>
          <w:rFonts w:ascii="Times New Roman" w:hAnsi="Times New Roman" w:cs="Times New Roman"/>
          <w:color w:val="000000" w:themeColor="text1"/>
          <w:sz w:val="24"/>
          <w:szCs w:val="24"/>
          <w:highlight w:val="yellow"/>
        </w:rPr>
        <w:t>and</w:t>
      </w:r>
      <w:r w:rsidRPr="007A78F6">
        <w:rPr>
          <w:rFonts w:ascii="Times New Roman" w:hAnsi="Times New Roman" w:cs="Times New Roman"/>
          <w:color w:val="000000" w:themeColor="text1"/>
          <w:sz w:val="24"/>
          <w:szCs w:val="24"/>
          <w:highlight w:val="yellow"/>
        </w:rPr>
        <w:t xml:space="preserve"> a</w:t>
      </w:r>
      <w:r w:rsidR="000C38CB" w:rsidRPr="007A78F6">
        <w:rPr>
          <w:rFonts w:ascii="Times New Roman" w:hAnsi="Times New Roman" w:cs="Times New Roman"/>
          <w:color w:val="000000" w:themeColor="text1"/>
          <w:sz w:val="24"/>
          <w:szCs w:val="24"/>
          <w:highlight w:val="yellow"/>
        </w:rPr>
        <w:t xml:space="preserve"> dedicated</w:t>
      </w:r>
      <w:r w:rsidRPr="007A78F6">
        <w:rPr>
          <w:rFonts w:ascii="Times New Roman" w:hAnsi="Times New Roman" w:cs="Times New Roman"/>
          <w:color w:val="000000" w:themeColor="text1"/>
          <w:sz w:val="24"/>
          <w:szCs w:val="24"/>
          <w:highlight w:val="yellow"/>
        </w:rPr>
        <w:t xml:space="preserve"> ERA Forum for Transition. This will </w:t>
      </w:r>
      <w:r w:rsidR="000C38CB" w:rsidRPr="007A78F6">
        <w:rPr>
          <w:rFonts w:ascii="Times New Roman" w:hAnsi="Times New Roman" w:cs="Times New Roman"/>
          <w:color w:val="000000" w:themeColor="text1"/>
          <w:sz w:val="24"/>
          <w:szCs w:val="24"/>
          <w:highlight w:val="yellow"/>
        </w:rPr>
        <w:t xml:space="preserve">focus </w:t>
      </w:r>
      <w:r w:rsidR="005246E6" w:rsidRPr="007A78F6">
        <w:rPr>
          <w:rFonts w:ascii="Times New Roman" w:hAnsi="Times New Roman" w:cs="Times New Roman"/>
          <w:color w:val="000000" w:themeColor="text1"/>
          <w:sz w:val="24"/>
          <w:szCs w:val="24"/>
          <w:highlight w:val="yellow"/>
        </w:rPr>
        <w:t xml:space="preserve">Member States </w:t>
      </w:r>
      <w:r w:rsidR="000C38CB" w:rsidRPr="007A78F6">
        <w:rPr>
          <w:rFonts w:ascii="Times New Roman" w:hAnsi="Times New Roman" w:cs="Times New Roman"/>
          <w:color w:val="000000" w:themeColor="text1"/>
          <w:sz w:val="24"/>
          <w:szCs w:val="24"/>
          <w:highlight w:val="yellow"/>
        </w:rPr>
        <w:t xml:space="preserve">common efforts, </w:t>
      </w:r>
      <w:r w:rsidR="00CF6F8E" w:rsidRPr="007A78F6">
        <w:rPr>
          <w:rFonts w:ascii="Times New Roman" w:hAnsi="Times New Roman" w:cs="Times New Roman"/>
          <w:color w:val="000000" w:themeColor="text1"/>
          <w:sz w:val="24"/>
          <w:szCs w:val="24"/>
          <w:highlight w:val="yellow"/>
        </w:rPr>
        <w:t xml:space="preserve">to </w:t>
      </w:r>
      <w:r w:rsidR="00194271" w:rsidRPr="007A78F6">
        <w:rPr>
          <w:rFonts w:ascii="Times New Roman" w:hAnsi="Times New Roman" w:cs="Times New Roman"/>
          <w:color w:val="000000" w:themeColor="text1"/>
          <w:sz w:val="24"/>
          <w:szCs w:val="24"/>
          <w:highlight w:val="yellow"/>
        </w:rPr>
        <w:t>voluntarily commit</w:t>
      </w:r>
      <w:r w:rsidR="00314A1E" w:rsidRPr="007A78F6">
        <w:rPr>
          <w:rFonts w:ascii="Times New Roman" w:hAnsi="Times New Roman" w:cs="Times New Roman"/>
          <w:color w:val="000000" w:themeColor="text1"/>
          <w:sz w:val="24"/>
          <w:szCs w:val="24"/>
          <w:highlight w:val="yellow"/>
        </w:rPr>
        <w:t xml:space="preserve"> </w:t>
      </w:r>
      <w:r w:rsidR="005246E6" w:rsidRPr="007A78F6">
        <w:rPr>
          <w:rFonts w:ascii="Times New Roman" w:hAnsi="Times New Roman" w:cs="Times New Roman"/>
          <w:color w:val="000000" w:themeColor="text1"/>
          <w:sz w:val="24"/>
          <w:szCs w:val="24"/>
          <w:highlight w:val="yellow"/>
        </w:rPr>
        <w:t xml:space="preserve">5% of </w:t>
      </w:r>
      <w:r w:rsidR="00275321" w:rsidRPr="007A78F6">
        <w:rPr>
          <w:rFonts w:ascii="Times New Roman" w:hAnsi="Times New Roman" w:cs="Times New Roman"/>
          <w:color w:val="000000" w:themeColor="text1"/>
          <w:sz w:val="24"/>
          <w:szCs w:val="24"/>
          <w:highlight w:val="yellow"/>
        </w:rPr>
        <w:t xml:space="preserve">national </w:t>
      </w:r>
      <w:r w:rsidR="002F6962" w:rsidRPr="007A78F6">
        <w:rPr>
          <w:rFonts w:ascii="Times New Roman" w:hAnsi="Times New Roman" w:cs="Times New Roman"/>
          <w:color w:val="000000" w:themeColor="text1"/>
          <w:sz w:val="24"/>
          <w:szCs w:val="24"/>
          <w:highlight w:val="yellow"/>
        </w:rPr>
        <w:t>public R&amp;D</w:t>
      </w:r>
      <w:r w:rsidR="005246E6" w:rsidRPr="007A78F6">
        <w:rPr>
          <w:rFonts w:ascii="Times New Roman" w:hAnsi="Times New Roman" w:cs="Times New Roman"/>
          <w:color w:val="000000" w:themeColor="text1"/>
          <w:sz w:val="24"/>
          <w:szCs w:val="24"/>
          <w:highlight w:val="yellow"/>
        </w:rPr>
        <w:t xml:space="preserve"> funding </w:t>
      </w:r>
      <w:r w:rsidR="00314A1E" w:rsidRPr="007A78F6">
        <w:rPr>
          <w:rFonts w:ascii="Times New Roman" w:hAnsi="Times New Roman" w:cs="Times New Roman"/>
          <w:color w:val="000000" w:themeColor="text1"/>
          <w:sz w:val="24"/>
          <w:szCs w:val="24"/>
          <w:highlight w:val="yellow"/>
        </w:rPr>
        <w:t xml:space="preserve">to joint </w:t>
      </w:r>
      <w:r w:rsidR="005246E6" w:rsidRPr="007A78F6">
        <w:rPr>
          <w:rFonts w:ascii="Times New Roman" w:hAnsi="Times New Roman" w:cs="Times New Roman"/>
          <w:color w:val="000000" w:themeColor="text1"/>
          <w:sz w:val="24"/>
          <w:szCs w:val="24"/>
          <w:highlight w:val="yellow"/>
        </w:rPr>
        <w:t xml:space="preserve">programmes and </w:t>
      </w:r>
      <w:r w:rsidR="00275321" w:rsidRPr="007A78F6">
        <w:rPr>
          <w:rFonts w:ascii="Times New Roman" w:hAnsi="Times New Roman" w:cs="Times New Roman"/>
          <w:color w:val="000000" w:themeColor="text1"/>
          <w:sz w:val="24"/>
          <w:szCs w:val="24"/>
          <w:highlight w:val="yellow"/>
        </w:rPr>
        <w:t xml:space="preserve">European </w:t>
      </w:r>
      <w:r w:rsidR="005246E6" w:rsidRPr="007A78F6">
        <w:rPr>
          <w:rFonts w:ascii="Times New Roman" w:hAnsi="Times New Roman" w:cs="Times New Roman"/>
          <w:color w:val="000000" w:themeColor="text1"/>
          <w:sz w:val="24"/>
          <w:szCs w:val="24"/>
          <w:highlight w:val="yellow"/>
        </w:rPr>
        <w:t>partnerships by 2030</w:t>
      </w:r>
      <w:r w:rsidR="005246E6" w:rsidRPr="007A78F6">
        <w:rPr>
          <w:rStyle w:val="FootnoteReference"/>
          <w:rFonts w:ascii="Times New Roman" w:hAnsi="Times New Roman" w:cs="Times New Roman"/>
          <w:color w:val="000000" w:themeColor="text1"/>
          <w:sz w:val="24"/>
          <w:szCs w:val="24"/>
          <w:highlight w:val="yellow"/>
        </w:rPr>
        <w:footnoteReference w:id="30"/>
      </w:r>
      <w:r w:rsidR="00314A1E" w:rsidRPr="007A78F6">
        <w:rPr>
          <w:rFonts w:ascii="Times New Roman" w:hAnsi="Times New Roman" w:cs="Times New Roman"/>
          <w:color w:val="000000" w:themeColor="text1"/>
          <w:sz w:val="24"/>
          <w:szCs w:val="24"/>
          <w:highlight w:val="yellow"/>
        </w:rPr>
        <w:t xml:space="preserve">. </w:t>
      </w:r>
    </w:p>
    <w:p w14:paraId="1EA45CCF" w14:textId="4A7576C3" w:rsidR="00112CC2" w:rsidRDefault="00112CC2">
      <w:pPr>
        <w:rPr>
          <w:rFonts w:ascii="Times New Roman" w:hAnsi="Times New Roman" w:cs="Times New Roman"/>
          <w:b/>
          <w:color w:val="000000" w:themeColor="text1"/>
          <w:sz w:val="24"/>
          <w:szCs w:val="24"/>
          <w:u w:val="single"/>
        </w:rPr>
      </w:pPr>
    </w:p>
    <w:p w14:paraId="77791206" w14:textId="7F95532A" w:rsidR="008B50AB" w:rsidRPr="006340BE" w:rsidRDefault="0003602A" w:rsidP="004E368A">
      <w:pPr>
        <w:pStyle w:val="ListParagraph"/>
        <w:keepNext/>
        <w:numPr>
          <w:ilvl w:val="1"/>
          <w:numId w:val="1"/>
        </w:numPr>
        <w:spacing w:before="240" w:after="0" w:line="240" w:lineRule="auto"/>
        <w:ind w:left="357" w:hanging="357"/>
        <w:contextualSpacing w:val="0"/>
        <w:jc w:val="both"/>
        <w:rPr>
          <w:rFonts w:ascii="Times New Roman" w:hAnsi="Times New Roman" w:cs="Times New Roman"/>
          <w:b/>
          <w:color w:val="000000" w:themeColor="text1"/>
          <w:sz w:val="24"/>
          <w:szCs w:val="24"/>
          <w:u w:val="single"/>
        </w:rPr>
      </w:pPr>
      <w:r w:rsidRPr="006340BE">
        <w:rPr>
          <w:rFonts w:ascii="Times New Roman" w:hAnsi="Times New Roman" w:cs="Times New Roman"/>
          <w:b/>
          <w:color w:val="000000" w:themeColor="text1"/>
          <w:sz w:val="24"/>
          <w:szCs w:val="24"/>
          <w:u w:val="single"/>
        </w:rPr>
        <w:lastRenderedPageBreak/>
        <w:t>Improving access to excellence</w:t>
      </w:r>
    </w:p>
    <w:p w14:paraId="7AB55DF3" w14:textId="77777777" w:rsidR="001D34A2" w:rsidRPr="006340BE" w:rsidRDefault="008B50AB" w:rsidP="004E368A">
      <w:pPr>
        <w:keepNext/>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u w:val="single"/>
        </w:rPr>
        <w:t>Advancing Europe togethe</w:t>
      </w:r>
      <w:r w:rsidR="00AE72B7" w:rsidRPr="006340BE">
        <w:rPr>
          <w:rFonts w:ascii="Times New Roman" w:hAnsi="Times New Roman" w:cs="Times New Roman"/>
          <w:color w:val="000000" w:themeColor="text1"/>
          <w:sz w:val="24"/>
          <w:szCs w:val="24"/>
          <w:u w:val="single"/>
        </w:rPr>
        <w:t>r</w:t>
      </w:r>
    </w:p>
    <w:p w14:paraId="1AE21CB4" w14:textId="3E59B157" w:rsidR="00A7187C" w:rsidRPr="006340BE" w:rsidRDefault="0057574C" w:rsidP="004E368A">
      <w:pPr>
        <w:keepLines/>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Member States</w:t>
      </w:r>
      <w:r w:rsidR="00BB655F" w:rsidRPr="006340BE">
        <w:rPr>
          <w:rFonts w:ascii="Times New Roman" w:hAnsi="Times New Roman" w:cs="Times New Roman"/>
          <w:bCs/>
          <w:color w:val="000000" w:themeColor="text1"/>
          <w:sz w:val="24"/>
          <w:szCs w:val="24"/>
        </w:rPr>
        <w:t>’</w:t>
      </w:r>
      <w:r w:rsidRPr="006340BE">
        <w:rPr>
          <w:rFonts w:ascii="Times New Roman" w:hAnsi="Times New Roman" w:cs="Times New Roman"/>
          <w:bCs/>
          <w:color w:val="000000" w:themeColor="text1"/>
          <w:sz w:val="24"/>
          <w:szCs w:val="24"/>
        </w:rPr>
        <w:t xml:space="preserve"> R&amp;I investment </w:t>
      </w:r>
      <w:r w:rsidR="0092281E" w:rsidRPr="006340BE">
        <w:rPr>
          <w:rFonts w:ascii="Times New Roman" w:hAnsi="Times New Roman" w:cs="Times New Roman"/>
          <w:bCs/>
          <w:color w:val="000000" w:themeColor="text1"/>
          <w:sz w:val="24"/>
          <w:szCs w:val="24"/>
        </w:rPr>
        <w:t>remain</w:t>
      </w:r>
      <w:r w:rsidRPr="006340BE">
        <w:rPr>
          <w:rFonts w:ascii="Times New Roman" w:hAnsi="Times New Roman" w:cs="Times New Roman"/>
          <w:bCs/>
          <w:color w:val="000000" w:themeColor="text1"/>
          <w:sz w:val="24"/>
          <w:szCs w:val="24"/>
        </w:rPr>
        <w:t>s uneven with important differences, from 0.5% to 3.3% of the GDP</w:t>
      </w:r>
      <w:r w:rsidR="00E13E27" w:rsidRPr="006340BE">
        <w:rPr>
          <w:rFonts w:ascii="Times New Roman" w:hAnsi="Times New Roman" w:cs="Times New Roman"/>
          <w:bCs/>
          <w:color w:val="000000" w:themeColor="text1"/>
          <w:sz w:val="24"/>
          <w:szCs w:val="24"/>
        </w:rPr>
        <w:t xml:space="preserve"> and</w:t>
      </w:r>
      <w:r w:rsidR="008B50AB" w:rsidRPr="006340BE">
        <w:rPr>
          <w:rFonts w:ascii="Times New Roman" w:hAnsi="Times New Roman" w:cs="Times New Roman"/>
          <w:bCs/>
          <w:color w:val="000000" w:themeColor="text1"/>
          <w:sz w:val="24"/>
          <w:szCs w:val="24"/>
        </w:rPr>
        <w:t xml:space="preserve"> concentrated in </w:t>
      </w:r>
      <w:r w:rsidRPr="006340BE">
        <w:rPr>
          <w:rFonts w:ascii="Times New Roman" w:hAnsi="Times New Roman" w:cs="Times New Roman"/>
          <w:bCs/>
          <w:color w:val="000000" w:themeColor="text1"/>
          <w:sz w:val="24"/>
          <w:szCs w:val="24"/>
        </w:rPr>
        <w:t xml:space="preserve">EU </w:t>
      </w:r>
      <w:r w:rsidR="008B50AB" w:rsidRPr="006340BE">
        <w:rPr>
          <w:rFonts w:ascii="Times New Roman" w:hAnsi="Times New Roman" w:cs="Times New Roman"/>
          <w:bCs/>
          <w:color w:val="000000" w:themeColor="text1"/>
          <w:sz w:val="24"/>
          <w:szCs w:val="24"/>
        </w:rPr>
        <w:t xml:space="preserve">northern and western parts. </w:t>
      </w:r>
      <w:r w:rsidR="001B2C6F" w:rsidRPr="006340BE">
        <w:rPr>
          <w:rFonts w:ascii="Times New Roman" w:hAnsi="Times New Roman" w:cs="Times New Roman"/>
          <w:bCs/>
          <w:color w:val="000000" w:themeColor="text1"/>
          <w:sz w:val="24"/>
          <w:szCs w:val="24"/>
        </w:rPr>
        <w:t>These differences in investment translate into gaps in scientific excellence and innovation output. For example, p</w:t>
      </w:r>
      <w:r w:rsidR="003F1A2F" w:rsidRPr="006340BE">
        <w:rPr>
          <w:rFonts w:ascii="Times New Roman" w:hAnsi="Times New Roman" w:cs="Times New Roman"/>
          <w:bCs/>
          <w:color w:val="000000" w:themeColor="text1"/>
          <w:sz w:val="24"/>
          <w:szCs w:val="24"/>
        </w:rPr>
        <w:t xml:space="preserve">roxy indicators for </w:t>
      </w:r>
      <w:r w:rsidR="008B50AB" w:rsidRPr="006340BE">
        <w:rPr>
          <w:rFonts w:ascii="Times New Roman" w:hAnsi="Times New Roman" w:cs="Times New Roman"/>
          <w:bCs/>
          <w:color w:val="000000" w:themeColor="text1"/>
          <w:sz w:val="24"/>
          <w:szCs w:val="24"/>
        </w:rPr>
        <w:t xml:space="preserve">science quality </w:t>
      </w:r>
      <w:r w:rsidR="003F1A2F" w:rsidRPr="006340BE">
        <w:rPr>
          <w:rFonts w:ascii="Times New Roman" w:hAnsi="Times New Roman" w:cs="Times New Roman"/>
          <w:bCs/>
          <w:color w:val="000000" w:themeColor="text1"/>
          <w:sz w:val="24"/>
          <w:szCs w:val="24"/>
        </w:rPr>
        <w:t xml:space="preserve">(top cited scientific publications) </w:t>
      </w:r>
      <w:r w:rsidR="00F45063" w:rsidRPr="006340BE">
        <w:rPr>
          <w:rFonts w:ascii="Times New Roman" w:hAnsi="Times New Roman" w:cs="Times New Roman"/>
          <w:bCs/>
          <w:color w:val="000000" w:themeColor="text1"/>
          <w:sz w:val="24"/>
          <w:szCs w:val="24"/>
        </w:rPr>
        <w:t>show also a persist</w:t>
      </w:r>
      <w:r w:rsidRPr="006340BE">
        <w:rPr>
          <w:rFonts w:ascii="Times New Roman" w:hAnsi="Times New Roman" w:cs="Times New Roman"/>
          <w:bCs/>
          <w:color w:val="000000" w:themeColor="text1"/>
          <w:sz w:val="24"/>
          <w:szCs w:val="24"/>
        </w:rPr>
        <w:t>ent</w:t>
      </w:r>
      <w:r w:rsidR="00F45063" w:rsidRPr="006340BE">
        <w:rPr>
          <w:rFonts w:ascii="Times New Roman" w:hAnsi="Times New Roman" w:cs="Times New Roman"/>
          <w:bCs/>
          <w:color w:val="000000" w:themeColor="text1"/>
          <w:sz w:val="24"/>
          <w:szCs w:val="24"/>
        </w:rPr>
        <w:t xml:space="preserve"> </w:t>
      </w:r>
      <w:r w:rsidR="008B50AB" w:rsidRPr="006340BE">
        <w:rPr>
          <w:rFonts w:ascii="Times New Roman" w:hAnsi="Times New Roman" w:cs="Times New Roman"/>
          <w:bCs/>
          <w:color w:val="000000" w:themeColor="text1"/>
          <w:sz w:val="24"/>
          <w:szCs w:val="24"/>
        </w:rPr>
        <w:t>divide</w:t>
      </w:r>
      <w:r w:rsidR="00910BDD" w:rsidRPr="006340BE">
        <w:rPr>
          <w:rStyle w:val="FootnoteReference"/>
          <w:rFonts w:ascii="Times New Roman" w:hAnsi="Times New Roman" w:cs="Times New Roman"/>
          <w:bCs/>
          <w:color w:val="000000" w:themeColor="text1"/>
          <w:sz w:val="24"/>
          <w:szCs w:val="24"/>
        </w:rPr>
        <w:footnoteReference w:id="31"/>
      </w:r>
      <w:r w:rsidR="008B50AB" w:rsidRPr="006340BE">
        <w:rPr>
          <w:rFonts w:ascii="Times New Roman" w:hAnsi="Times New Roman" w:cs="Times New Roman"/>
          <w:bCs/>
          <w:color w:val="000000" w:themeColor="text1"/>
          <w:sz w:val="24"/>
          <w:szCs w:val="24"/>
        </w:rPr>
        <w:t>.</w:t>
      </w:r>
    </w:p>
    <w:p w14:paraId="4D9AE88E" w14:textId="3FC9ECE5" w:rsidR="00E14D49" w:rsidRPr="006340BE" w:rsidRDefault="004175F6" w:rsidP="00F74968">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T</w:t>
      </w:r>
      <w:r w:rsidR="008B50AB" w:rsidRPr="006340BE">
        <w:rPr>
          <w:rFonts w:ascii="Times New Roman" w:hAnsi="Times New Roman" w:cs="Times New Roman"/>
          <w:bCs/>
          <w:color w:val="000000" w:themeColor="text1"/>
          <w:sz w:val="24"/>
          <w:szCs w:val="24"/>
        </w:rPr>
        <w:t xml:space="preserve">he less </w:t>
      </w:r>
      <w:r w:rsidR="00CE5B49" w:rsidRPr="006340BE">
        <w:rPr>
          <w:rFonts w:ascii="Times New Roman" w:hAnsi="Times New Roman" w:cs="Times New Roman"/>
          <w:bCs/>
          <w:color w:val="000000" w:themeColor="text1"/>
          <w:sz w:val="24"/>
          <w:szCs w:val="24"/>
        </w:rPr>
        <w:t xml:space="preserve">R&amp;I </w:t>
      </w:r>
      <w:r w:rsidR="008B50AB" w:rsidRPr="006340BE">
        <w:rPr>
          <w:rFonts w:ascii="Times New Roman" w:hAnsi="Times New Roman" w:cs="Times New Roman"/>
          <w:bCs/>
          <w:color w:val="000000" w:themeColor="text1"/>
          <w:sz w:val="24"/>
          <w:szCs w:val="24"/>
        </w:rPr>
        <w:t>performing Member States</w:t>
      </w:r>
      <w:r w:rsidR="008D3C51" w:rsidRPr="006340BE">
        <w:rPr>
          <w:rStyle w:val="FootnoteReference"/>
          <w:rFonts w:ascii="Times New Roman" w:hAnsi="Times New Roman" w:cs="Times New Roman"/>
          <w:bCs/>
          <w:color w:val="000000" w:themeColor="text1"/>
          <w:sz w:val="24"/>
          <w:szCs w:val="24"/>
        </w:rPr>
        <w:footnoteReference w:id="32"/>
      </w:r>
      <w:r w:rsidR="008B50AB" w:rsidRPr="006340BE">
        <w:rPr>
          <w:rFonts w:ascii="Times New Roman" w:hAnsi="Times New Roman" w:cs="Times New Roman"/>
          <w:bCs/>
          <w:color w:val="000000" w:themeColor="text1"/>
          <w:sz w:val="24"/>
          <w:szCs w:val="24"/>
        </w:rPr>
        <w:t xml:space="preserve"> have managed to progress </w:t>
      </w:r>
      <w:r w:rsidRPr="006340BE">
        <w:rPr>
          <w:rFonts w:ascii="Times New Roman" w:hAnsi="Times New Roman" w:cs="Times New Roman"/>
          <w:bCs/>
          <w:color w:val="000000" w:themeColor="text1"/>
          <w:sz w:val="24"/>
          <w:szCs w:val="24"/>
        </w:rPr>
        <w:t xml:space="preserve">but </w:t>
      </w:r>
      <w:r w:rsidR="008B50AB" w:rsidRPr="006340BE">
        <w:rPr>
          <w:rFonts w:ascii="Times New Roman" w:hAnsi="Times New Roman" w:cs="Times New Roman"/>
          <w:bCs/>
          <w:color w:val="000000" w:themeColor="text1"/>
          <w:sz w:val="24"/>
          <w:szCs w:val="24"/>
        </w:rPr>
        <w:t xml:space="preserve">most of these countries </w:t>
      </w:r>
      <w:r w:rsidR="00E13E27" w:rsidRPr="006340BE">
        <w:rPr>
          <w:rFonts w:ascii="Times New Roman" w:hAnsi="Times New Roman" w:cs="Times New Roman"/>
          <w:bCs/>
          <w:color w:val="000000" w:themeColor="text1"/>
          <w:sz w:val="24"/>
          <w:szCs w:val="24"/>
        </w:rPr>
        <w:t xml:space="preserve">still </w:t>
      </w:r>
      <w:r w:rsidR="008B50AB" w:rsidRPr="006340BE">
        <w:rPr>
          <w:rFonts w:ascii="Times New Roman" w:hAnsi="Times New Roman" w:cs="Times New Roman"/>
          <w:bCs/>
          <w:color w:val="000000" w:themeColor="text1"/>
          <w:sz w:val="24"/>
          <w:szCs w:val="24"/>
        </w:rPr>
        <w:t xml:space="preserve">perform well below </w:t>
      </w:r>
      <w:r w:rsidR="00A7187C" w:rsidRPr="006340BE">
        <w:rPr>
          <w:rFonts w:ascii="Times New Roman" w:hAnsi="Times New Roman" w:cs="Times New Roman"/>
          <w:bCs/>
          <w:color w:val="000000" w:themeColor="text1"/>
          <w:sz w:val="24"/>
          <w:szCs w:val="24"/>
        </w:rPr>
        <w:t>the EU average</w:t>
      </w:r>
      <w:r w:rsidR="008B50AB" w:rsidRPr="006340BE">
        <w:rPr>
          <w:rStyle w:val="FootnoteReference"/>
          <w:rFonts w:ascii="Times New Roman" w:hAnsi="Times New Roman" w:cs="Times New Roman"/>
          <w:bCs/>
          <w:color w:val="000000" w:themeColor="text1"/>
          <w:sz w:val="24"/>
          <w:szCs w:val="24"/>
        </w:rPr>
        <w:footnoteReference w:id="33"/>
      </w:r>
      <w:r w:rsidR="00F45063" w:rsidRPr="006340BE">
        <w:rPr>
          <w:rFonts w:ascii="Times New Roman" w:hAnsi="Times New Roman" w:cs="Times New Roman"/>
          <w:bCs/>
          <w:color w:val="000000" w:themeColor="text1"/>
          <w:sz w:val="24"/>
          <w:szCs w:val="24"/>
        </w:rPr>
        <w:t xml:space="preserve">. </w:t>
      </w:r>
      <w:r w:rsidR="00AB65EA" w:rsidRPr="006340BE">
        <w:rPr>
          <w:rFonts w:ascii="Times New Roman" w:hAnsi="Times New Roman" w:cs="Times New Roman"/>
          <w:bCs/>
          <w:color w:val="000000" w:themeColor="text1"/>
          <w:sz w:val="24"/>
          <w:szCs w:val="24"/>
        </w:rPr>
        <w:t xml:space="preserve">Nearly all </w:t>
      </w:r>
      <w:r w:rsidR="008B50AB" w:rsidRPr="006340BE">
        <w:rPr>
          <w:rFonts w:ascii="Times New Roman" w:hAnsi="Times New Roman" w:cs="Times New Roman"/>
          <w:bCs/>
          <w:color w:val="000000" w:themeColor="text1"/>
          <w:sz w:val="24"/>
          <w:szCs w:val="24"/>
        </w:rPr>
        <w:t xml:space="preserve">Eastern European Member States have managed to increase their </w:t>
      </w:r>
      <w:r w:rsidR="00DE0040" w:rsidRPr="006340BE">
        <w:rPr>
          <w:rFonts w:ascii="Times New Roman" w:hAnsi="Times New Roman" w:cs="Times New Roman"/>
          <w:bCs/>
          <w:color w:val="000000" w:themeColor="text1"/>
          <w:sz w:val="24"/>
          <w:szCs w:val="24"/>
        </w:rPr>
        <w:t>R&amp;I</w:t>
      </w:r>
      <w:r w:rsidR="008B50AB" w:rsidRPr="006340BE">
        <w:rPr>
          <w:rFonts w:ascii="Times New Roman" w:hAnsi="Times New Roman" w:cs="Times New Roman"/>
          <w:bCs/>
          <w:color w:val="000000" w:themeColor="text1"/>
          <w:sz w:val="24"/>
          <w:szCs w:val="24"/>
        </w:rPr>
        <w:t xml:space="preserve"> </w:t>
      </w:r>
      <w:r w:rsidR="001B2C6F" w:rsidRPr="006340BE">
        <w:rPr>
          <w:rFonts w:ascii="Times New Roman" w:hAnsi="Times New Roman" w:cs="Times New Roman"/>
          <w:bCs/>
          <w:color w:val="000000" w:themeColor="text1"/>
          <w:sz w:val="24"/>
          <w:szCs w:val="24"/>
        </w:rPr>
        <w:t>expenditure</w:t>
      </w:r>
      <w:r w:rsidR="008B50AB" w:rsidRPr="006340BE">
        <w:rPr>
          <w:rFonts w:ascii="Times New Roman" w:hAnsi="Times New Roman" w:cs="Times New Roman"/>
          <w:bCs/>
          <w:color w:val="000000" w:themeColor="text1"/>
          <w:sz w:val="24"/>
          <w:szCs w:val="24"/>
        </w:rPr>
        <w:t xml:space="preserve">, while a number of southern </w:t>
      </w:r>
      <w:r w:rsidR="00D62029" w:rsidRPr="006340BE">
        <w:rPr>
          <w:rFonts w:ascii="Times New Roman" w:hAnsi="Times New Roman" w:cs="Times New Roman"/>
          <w:bCs/>
          <w:color w:val="000000" w:themeColor="text1"/>
          <w:sz w:val="24"/>
          <w:szCs w:val="24"/>
        </w:rPr>
        <w:t>countrie</w:t>
      </w:r>
      <w:r w:rsidR="00DE73FD" w:rsidRPr="006340BE">
        <w:rPr>
          <w:rFonts w:ascii="Times New Roman" w:hAnsi="Times New Roman" w:cs="Times New Roman"/>
          <w:bCs/>
          <w:color w:val="000000" w:themeColor="text1"/>
          <w:sz w:val="24"/>
          <w:szCs w:val="24"/>
        </w:rPr>
        <w:t>s</w:t>
      </w:r>
      <w:r w:rsidR="008B50AB" w:rsidRPr="006340BE">
        <w:rPr>
          <w:rFonts w:ascii="Times New Roman" w:hAnsi="Times New Roman" w:cs="Times New Roman"/>
          <w:bCs/>
          <w:color w:val="000000" w:themeColor="text1"/>
          <w:sz w:val="24"/>
          <w:szCs w:val="24"/>
        </w:rPr>
        <w:t xml:space="preserve"> appear to be falling behind</w:t>
      </w:r>
      <w:r w:rsidR="008B50AB" w:rsidRPr="006340BE">
        <w:rPr>
          <w:rStyle w:val="FootnoteReference"/>
          <w:rFonts w:ascii="Times New Roman" w:hAnsi="Times New Roman" w:cs="Times New Roman"/>
          <w:bCs/>
          <w:color w:val="000000" w:themeColor="text1"/>
          <w:sz w:val="24"/>
          <w:szCs w:val="24"/>
        </w:rPr>
        <w:footnoteReference w:id="34"/>
      </w:r>
      <w:r w:rsidR="0057574C" w:rsidRPr="006340BE">
        <w:rPr>
          <w:rFonts w:ascii="Times New Roman" w:hAnsi="Times New Roman" w:cs="Times New Roman"/>
          <w:bCs/>
          <w:color w:val="000000" w:themeColor="text1"/>
          <w:sz w:val="24"/>
          <w:szCs w:val="24"/>
        </w:rPr>
        <w:t xml:space="preserve">. </w:t>
      </w:r>
      <w:r w:rsidR="000C38CB" w:rsidRPr="006340BE">
        <w:rPr>
          <w:rFonts w:ascii="Times New Roman" w:hAnsi="Times New Roman" w:cs="Times New Roman"/>
          <w:bCs/>
          <w:color w:val="000000" w:themeColor="text1"/>
          <w:sz w:val="24"/>
          <w:szCs w:val="24"/>
        </w:rPr>
        <w:t xml:space="preserve">Most Member States </w:t>
      </w:r>
      <w:r w:rsidR="00A7187C" w:rsidRPr="006340BE">
        <w:rPr>
          <w:rFonts w:ascii="Times New Roman" w:hAnsi="Times New Roman" w:cs="Times New Roman"/>
          <w:bCs/>
          <w:color w:val="000000" w:themeColor="text1"/>
          <w:sz w:val="24"/>
          <w:szCs w:val="24"/>
        </w:rPr>
        <w:t>are engaged in</w:t>
      </w:r>
      <w:r w:rsidR="001565E0" w:rsidRPr="006340BE">
        <w:rPr>
          <w:rFonts w:ascii="Times New Roman" w:hAnsi="Times New Roman" w:cs="Times New Roman"/>
          <w:bCs/>
          <w:color w:val="000000" w:themeColor="text1"/>
          <w:sz w:val="24"/>
          <w:szCs w:val="24"/>
        </w:rPr>
        <w:t xml:space="preserve"> </w:t>
      </w:r>
      <w:r w:rsidR="007C52BA" w:rsidRPr="006340BE">
        <w:rPr>
          <w:rFonts w:ascii="Times New Roman" w:hAnsi="Times New Roman" w:cs="Times New Roman"/>
          <w:bCs/>
          <w:color w:val="000000" w:themeColor="text1"/>
          <w:sz w:val="24"/>
          <w:szCs w:val="24"/>
        </w:rPr>
        <w:t>improv</w:t>
      </w:r>
      <w:r w:rsidR="00A7187C" w:rsidRPr="006340BE">
        <w:rPr>
          <w:rFonts w:ascii="Times New Roman" w:hAnsi="Times New Roman" w:cs="Times New Roman"/>
          <w:bCs/>
          <w:color w:val="000000" w:themeColor="text1"/>
          <w:sz w:val="24"/>
          <w:szCs w:val="24"/>
        </w:rPr>
        <w:t>ing</w:t>
      </w:r>
      <w:r w:rsidR="007C52BA" w:rsidRPr="006340BE">
        <w:rPr>
          <w:rFonts w:ascii="Times New Roman" w:hAnsi="Times New Roman" w:cs="Times New Roman"/>
          <w:bCs/>
          <w:color w:val="000000" w:themeColor="text1"/>
          <w:sz w:val="24"/>
          <w:szCs w:val="24"/>
        </w:rPr>
        <w:t xml:space="preserve"> </w:t>
      </w:r>
      <w:r w:rsidR="001565E0" w:rsidRPr="006340BE">
        <w:rPr>
          <w:rFonts w:ascii="Times New Roman" w:hAnsi="Times New Roman" w:cs="Times New Roman"/>
          <w:bCs/>
          <w:color w:val="000000" w:themeColor="text1"/>
          <w:sz w:val="24"/>
          <w:szCs w:val="24"/>
        </w:rPr>
        <w:t xml:space="preserve">their national R&amp;I systems to </w:t>
      </w:r>
      <w:r w:rsidR="0057574C" w:rsidRPr="006340BE">
        <w:rPr>
          <w:rFonts w:ascii="Times New Roman" w:hAnsi="Times New Roman" w:cs="Times New Roman"/>
          <w:bCs/>
          <w:color w:val="000000" w:themeColor="text1"/>
          <w:sz w:val="24"/>
          <w:szCs w:val="24"/>
        </w:rPr>
        <w:t xml:space="preserve">strengthen their </w:t>
      </w:r>
      <w:r w:rsidR="008B50AB" w:rsidRPr="006340BE">
        <w:rPr>
          <w:rFonts w:ascii="Times New Roman" w:hAnsi="Times New Roman" w:cs="Times New Roman"/>
          <w:bCs/>
          <w:color w:val="000000" w:themeColor="text1"/>
          <w:sz w:val="24"/>
          <w:szCs w:val="24"/>
        </w:rPr>
        <w:t xml:space="preserve">science </w:t>
      </w:r>
      <w:r w:rsidR="001565E0" w:rsidRPr="006340BE">
        <w:rPr>
          <w:rFonts w:ascii="Times New Roman" w:hAnsi="Times New Roman" w:cs="Times New Roman"/>
          <w:bCs/>
          <w:color w:val="000000" w:themeColor="text1"/>
          <w:sz w:val="24"/>
          <w:szCs w:val="24"/>
        </w:rPr>
        <w:t>base</w:t>
      </w:r>
      <w:r w:rsidR="007C52BA" w:rsidRPr="006340BE">
        <w:rPr>
          <w:rFonts w:ascii="Times New Roman" w:hAnsi="Times New Roman" w:cs="Times New Roman"/>
          <w:bCs/>
          <w:color w:val="000000" w:themeColor="text1"/>
          <w:sz w:val="24"/>
          <w:szCs w:val="24"/>
        </w:rPr>
        <w:t>, including by</w:t>
      </w:r>
      <w:r w:rsidR="00A7187C" w:rsidRPr="006340BE">
        <w:rPr>
          <w:rFonts w:ascii="Times New Roman" w:hAnsi="Times New Roman" w:cs="Times New Roman"/>
          <w:bCs/>
          <w:color w:val="000000" w:themeColor="text1"/>
          <w:sz w:val="24"/>
          <w:szCs w:val="24"/>
        </w:rPr>
        <w:t xml:space="preserve"> </w:t>
      </w:r>
      <w:r w:rsidR="007C52BA" w:rsidRPr="006340BE">
        <w:rPr>
          <w:rFonts w:ascii="Times New Roman" w:hAnsi="Times New Roman" w:cs="Times New Roman"/>
          <w:bCs/>
          <w:color w:val="000000" w:themeColor="text1"/>
          <w:sz w:val="24"/>
          <w:szCs w:val="24"/>
        </w:rPr>
        <w:t>s</w:t>
      </w:r>
      <w:r w:rsidR="008B50AB" w:rsidRPr="006340BE">
        <w:rPr>
          <w:rFonts w:ascii="Times New Roman" w:hAnsi="Times New Roman" w:cs="Times New Roman"/>
          <w:bCs/>
          <w:color w:val="000000" w:themeColor="text1"/>
          <w:sz w:val="24"/>
          <w:szCs w:val="24"/>
        </w:rPr>
        <w:t>timulating public-private</w:t>
      </w:r>
      <w:r w:rsidR="00C5419D" w:rsidRPr="006340BE">
        <w:rPr>
          <w:rFonts w:ascii="Times New Roman" w:hAnsi="Times New Roman" w:cs="Times New Roman"/>
          <w:bCs/>
          <w:color w:val="000000" w:themeColor="text1"/>
          <w:sz w:val="24"/>
          <w:szCs w:val="24"/>
        </w:rPr>
        <w:t>, cross-s</w:t>
      </w:r>
      <w:r w:rsidR="00BC7A8D" w:rsidRPr="006340BE">
        <w:rPr>
          <w:rFonts w:ascii="Times New Roman" w:hAnsi="Times New Roman" w:cs="Times New Roman"/>
          <w:bCs/>
          <w:color w:val="000000" w:themeColor="text1"/>
          <w:sz w:val="24"/>
          <w:szCs w:val="24"/>
        </w:rPr>
        <w:t>e</w:t>
      </w:r>
      <w:r w:rsidR="00C5419D" w:rsidRPr="006340BE">
        <w:rPr>
          <w:rFonts w:ascii="Times New Roman" w:hAnsi="Times New Roman" w:cs="Times New Roman"/>
          <w:bCs/>
          <w:color w:val="000000" w:themeColor="text1"/>
          <w:sz w:val="24"/>
          <w:szCs w:val="24"/>
        </w:rPr>
        <w:t>ctorial</w:t>
      </w:r>
      <w:r w:rsidR="00000D79" w:rsidRPr="006340BE">
        <w:rPr>
          <w:rFonts w:ascii="Times New Roman" w:hAnsi="Times New Roman" w:cs="Times New Roman"/>
          <w:bCs/>
          <w:color w:val="000000" w:themeColor="text1"/>
          <w:sz w:val="24"/>
          <w:szCs w:val="24"/>
        </w:rPr>
        <w:t xml:space="preserve"> </w:t>
      </w:r>
      <w:r w:rsidR="008B50AB" w:rsidRPr="006340BE">
        <w:rPr>
          <w:rFonts w:ascii="Times New Roman" w:hAnsi="Times New Roman" w:cs="Times New Roman"/>
          <w:bCs/>
          <w:color w:val="000000" w:themeColor="text1"/>
          <w:sz w:val="24"/>
          <w:szCs w:val="24"/>
        </w:rPr>
        <w:t>interaction</w:t>
      </w:r>
      <w:r w:rsidR="0057574C" w:rsidRPr="006340BE">
        <w:rPr>
          <w:rFonts w:ascii="Times New Roman" w:hAnsi="Times New Roman" w:cs="Times New Roman"/>
          <w:bCs/>
          <w:color w:val="000000" w:themeColor="text1"/>
          <w:sz w:val="24"/>
          <w:szCs w:val="24"/>
        </w:rPr>
        <w:t>s</w:t>
      </w:r>
      <w:r w:rsidR="008B50AB" w:rsidRPr="006340BE">
        <w:rPr>
          <w:rFonts w:ascii="Times New Roman" w:hAnsi="Times New Roman" w:cs="Times New Roman"/>
          <w:bCs/>
          <w:color w:val="000000" w:themeColor="text1"/>
          <w:sz w:val="24"/>
          <w:szCs w:val="24"/>
        </w:rPr>
        <w:t xml:space="preserve"> and building an innovative private sector</w:t>
      </w:r>
      <w:r w:rsidR="00E14D49" w:rsidRPr="006340BE">
        <w:rPr>
          <w:rFonts w:ascii="Times New Roman" w:hAnsi="Times New Roman" w:cs="Times New Roman"/>
          <w:bCs/>
          <w:color w:val="000000" w:themeColor="text1"/>
          <w:sz w:val="24"/>
          <w:szCs w:val="24"/>
        </w:rPr>
        <w:t>.</w:t>
      </w:r>
    </w:p>
    <w:p w14:paraId="7EFFB3B0" w14:textId="68EC7A83" w:rsidR="0057574C" w:rsidRDefault="008B50AB"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bCs/>
          <w:color w:val="000000" w:themeColor="text1"/>
          <w:sz w:val="24"/>
          <w:szCs w:val="24"/>
        </w:rPr>
        <w:t xml:space="preserve">The EU </w:t>
      </w:r>
      <w:r w:rsidR="00341076" w:rsidRPr="006340BE">
        <w:rPr>
          <w:rFonts w:ascii="Times New Roman" w:hAnsi="Times New Roman" w:cs="Times New Roman"/>
          <w:bCs/>
          <w:color w:val="000000" w:themeColor="text1"/>
          <w:sz w:val="24"/>
          <w:szCs w:val="24"/>
        </w:rPr>
        <w:t xml:space="preserve">already </w:t>
      </w:r>
      <w:r w:rsidRPr="006340BE">
        <w:rPr>
          <w:rFonts w:ascii="Times New Roman" w:hAnsi="Times New Roman" w:cs="Times New Roman"/>
          <w:bCs/>
          <w:color w:val="000000" w:themeColor="text1"/>
          <w:sz w:val="24"/>
          <w:szCs w:val="24"/>
        </w:rPr>
        <w:t>support</w:t>
      </w:r>
      <w:r w:rsidR="00D71FAC" w:rsidRPr="006340BE">
        <w:rPr>
          <w:rFonts w:ascii="Times New Roman" w:hAnsi="Times New Roman" w:cs="Times New Roman"/>
          <w:bCs/>
          <w:color w:val="000000" w:themeColor="text1"/>
          <w:sz w:val="24"/>
          <w:szCs w:val="24"/>
        </w:rPr>
        <w:t>s</w:t>
      </w:r>
      <w:r w:rsidRPr="006340BE">
        <w:rPr>
          <w:rFonts w:ascii="Times New Roman" w:hAnsi="Times New Roman" w:cs="Times New Roman"/>
          <w:bCs/>
          <w:color w:val="000000" w:themeColor="text1"/>
          <w:sz w:val="24"/>
          <w:szCs w:val="24"/>
        </w:rPr>
        <w:t xml:space="preserve"> Member States</w:t>
      </w:r>
      <w:r w:rsidR="000C38CB" w:rsidRPr="006340BE">
        <w:rPr>
          <w:rFonts w:ascii="Times New Roman" w:hAnsi="Times New Roman" w:cs="Times New Roman"/>
          <w:bCs/>
          <w:color w:val="000000" w:themeColor="text1"/>
          <w:sz w:val="24"/>
          <w:szCs w:val="24"/>
        </w:rPr>
        <w:t xml:space="preserve"> that aim to strengthen their research and innovation capacity</w:t>
      </w:r>
      <w:r w:rsidRPr="006340BE">
        <w:rPr>
          <w:rFonts w:ascii="Times New Roman" w:hAnsi="Times New Roman" w:cs="Times New Roman"/>
          <w:bCs/>
          <w:color w:val="000000" w:themeColor="text1"/>
          <w:sz w:val="24"/>
          <w:szCs w:val="24"/>
        </w:rPr>
        <w:t xml:space="preserve"> through </w:t>
      </w:r>
      <w:r w:rsidR="00E633B0" w:rsidRPr="006340BE">
        <w:rPr>
          <w:rFonts w:ascii="Times New Roman" w:hAnsi="Times New Roman" w:cs="Times New Roman"/>
          <w:bCs/>
          <w:color w:val="000000" w:themeColor="text1"/>
          <w:sz w:val="24"/>
          <w:szCs w:val="24"/>
        </w:rPr>
        <w:t xml:space="preserve">different </w:t>
      </w:r>
      <w:r w:rsidRPr="006340BE">
        <w:rPr>
          <w:rFonts w:ascii="Times New Roman" w:hAnsi="Times New Roman" w:cs="Times New Roman"/>
          <w:bCs/>
          <w:color w:val="000000" w:themeColor="text1"/>
          <w:sz w:val="24"/>
          <w:szCs w:val="24"/>
        </w:rPr>
        <w:t xml:space="preserve">measures. </w:t>
      </w:r>
      <w:r w:rsidR="00D71FAC" w:rsidRPr="006340BE">
        <w:rPr>
          <w:rFonts w:ascii="Times New Roman" w:hAnsi="Times New Roman" w:cs="Times New Roman"/>
          <w:bCs/>
          <w:color w:val="000000" w:themeColor="text1"/>
          <w:sz w:val="24"/>
          <w:szCs w:val="24"/>
        </w:rPr>
        <w:t xml:space="preserve">The </w:t>
      </w:r>
      <w:r w:rsidR="00D71FAC" w:rsidRPr="006340BE">
        <w:rPr>
          <w:rFonts w:ascii="Times New Roman" w:hAnsi="Times New Roman" w:cs="Times New Roman"/>
          <w:bCs/>
          <w:i/>
          <w:iCs/>
          <w:color w:val="000000" w:themeColor="text1"/>
          <w:sz w:val="24"/>
          <w:szCs w:val="24"/>
        </w:rPr>
        <w:t xml:space="preserve">Horizon Policy </w:t>
      </w:r>
      <w:r w:rsidR="00D71FAC" w:rsidRPr="006340BE">
        <w:rPr>
          <w:rFonts w:ascii="Times New Roman" w:hAnsi="Times New Roman" w:cs="Times New Roman"/>
          <w:i/>
          <w:iCs/>
          <w:color w:val="000000" w:themeColor="text1"/>
          <w:sz w:val="24"/>
          <w:szCs w:val="24"/>
        </w:rPr>
        <w:t>Support Facility</w:t>
      </w:r>
      <w:r w:rsidR="00D71FAC" w:rsidRPr="006340BE">
        <w:rPr>
          <w:rStyle w:val="FootnoteReference"/>
          <w:rFonts w:ascii="Times New Roman" w:hAnsi="Times New Roman" w:cs="Times New Roman"/>
          <w:color w:val="000000" w:themeColor="text1"/>
          <w:sz w:val="24"/>
          <w:szCs w:val="24"/>
        </w:rPr>
        <w:footnoteReference w:id="35"/>
      </w:r>
      <w:r w:rsidR="00D71FAC" w:rsidRPr="006340BE">
        <w:rPr>
          <w:rFonts w:ascii="Times New Roman" w:hAnsi="Times New Roman" w:cs="Times New Roman"/>
          <w:color w:val="000000" w:themeColor="text1"/>
          <w:sz w:val="24"/>
          <w:szCs w:val="24"/>
        </w:rPr>
        <w:t xml:space="preserve"> and the future </w:t>
      </w:r>
      <w:r w:rsidR="00D71FAC" w:rsidRPr="006340BE">
        <w:rPr>
          <w:rFonts w:ascii="Times New Roman" w:hAnsi="Times New Roman" w:cs="Times New Roman"/>
          <w:i/>
          <w:iCs/>
          <w:color w:val="000000" w:themeColor="text1"/>
          <w:sz w:val="24"/>
          <w:szCs w:val="24"/>
        </w:rPr>
        <w:t>Technical Support Instrument</w:t>
      </w:r>
      <w:r w:rsidR="00A84104" w:rsidRPr="006340BE">
        <w:rPr>
          <w:rStyle w:val="FootnoteReference"/>
          <w:rFonts w:ascii="Times New Roman" w:hAnsi="Times New Roman" w:cs="Times New Roman"/>
          <w:color w:val="000000" w:themeColor="text1"/>
          <w:sz w:val="24"/>
          <w:szCs w:val="24"/>
        </w:rPr>
        <w:footnoteReference w:id="36"/>
      </w:r>
      <w:r w:rsidR="00D71FAC" w:rsidRPr="006340BE">
        <w:rPr>
          <w:rFonts w:ascii="Times New Roman" w:hAnsi="Times New Roman" w:cs="Times New Roman"/>
          <w:color w:val="000000" w:themeColor="text1"/>
          <w:sz w:val="24"/>
          <w:szCs w:val="24"/>
        </w:rPr>
        <w:t xml:space="preserve"> provide </w:t>
      </w:r>
      <w:r w:rsidR="000C38CB" w:rsidRPr="006340BE">
        <w:rPr>
          <w:rFonts w:ascii="Times New Roman" w:hAnsi="Times New Roman" w:cs="Times New Roman"/>
          <w:color w:val="000000" w:themeColor="text1"/>
          <w:sz w:val="24"/>
          <w:szCs w:val="24"/>
        </w:rPr>
        <w:t xml:space="preserve">these </w:t>
      </w:r>
      <w:r w:rsidR="00D71FAC" w:rsidRPr="006340BE">
        <w:rPr>
          <w:rFonts w:ascii="Times New Roman" w:hAnsi="Times New Roman" w:cs="Times New Roman"/>
          <w:color w:val="000000" w:themeColor="text1"/>
          <w:sz w:val="24"/>
          <w:szCs w:val="24"/>
        </w:rPr>
        <w:t xml:space="preserve">Member States with expert </w:t>
      </w:r>
      <w:r w:rsidR="007C52BA" w:rsidRPr="006340BE">
        <w:rPr>
          <w:rFonts w:ascii="Times New Roman" w:hAnsi="Times New Roman" w:cs="Times New Roman"/>
          <w:color w:val="000000" w:themeColor="text1"/>
          <w:sz w:val="24"/>
          <w:szCs w:val="24"/>
        </w:rPr>
        <w:t xml:space="preserve">advice </w:t>
      </w:r>
      <w:r w:rsidR="00D71FAC" w:rsidRPr="006340BE">
        <w:rPr>
          <w:rFonts w:ascii="Times New Roman" w:hAnsi="Times New Roman" w:cs="Times New Roman"/>
          <w:color w:val="000000" w:themeColor="text1"/>
          <w:sz w:val="24"/>
          <w:szCs w:val="24"/>
        </w:rPr>
        <w:t>and a variety of good practice</w:t>
      </w:r>
      <w:r w:rsidR="0057574C" w:rsidRPr="006340BE">
        <w:rPr>
          <w:rFonts w:ascii="Times New Roman" w:hAnsi="Times New Roman" w:cs="Times New Roman"/>
          <w:color w:val="000000" w:themeColor="text1"/>
          <w:sz w:val="24"/>
          <w:szCs w:val="24"/>
        </w:rPr>
        <w:t>s</w:t>
      </w:r>
      <w:r w:rsidR="00D71FAC" w:rsidRPr="006340BE">
        <w:rPr>
          <w:rFonts w:ascii="Times New Roman" w:hAnsi="Times New Roman" w:cs="Times New Roman"/>
          <w:color w:val="000000" w:themeColor="text1"/>
          <w:sz w:val="24"/>
          <w:szCs w:val="24"/>
        </w:rPr>
        <w:t xml:space="preserve"> to develop and implement reform</w:t>
      </w:r>
      <w:r w:rsidR="0057574C" w:rsidRPr="006340BE">
        <w:rPr>
          <w:rFonts w:ascii="Times New Roman" w:hAnsi="Times New Roman" w:cs="Times New Roman"/>
          <w:color w:val="000000" w:themeColor="text1"/>
          <w:sz w:val="24"/>
          <w:szCs w:val="24"/>
        </w:rPr>
        <w:t>s</w:t>
      </w:r>
      <w:r w:rsidR="00BB655F" w:rsidRPr="006340BE">
        <w:rPr>
          <w:rFonts w:ascii="Times New Roman" w:hAnsi="Times New Roman" w:cs="Times New Roman"/>
          <w:color w:val="000000" w:themeColor="text1"/>
          <w:sz w:val="24"/>
          <w:szCs w:val="24"/>
        </w:rPr>
        <w:t>, as well as tailor made support on the ground</w:t>
      </w:r>
      <w:r w:rsidR="00D71FAC" w:rsidRPr="006340BE">
        <w:rPr>
          <w:rFonts w:ascii="Times New Roman" w:hAnsi="Times New Roman" w:cs="Times New Roman"/>
          <w:color w:val="000000" w:themeColor="text1"/>
          <w:sz w:val="24"/>
          <w:szCs w:val="24"/>
        </w:rPr>
        <w:t>.</w:t>
      </w:r>
    </w:p>
    <w:p w14:paraId="5324D8D1" w14:textId="1652045A" w:rsidR="002A07E8" w:rsidRPr="006340BE" w:rsidRDefault="002A07E8" w:rsidP="00F74968">
      <w:pPr>
        <w:spacing w:before="120" w:after="0" w:line="240" w:lineRule="auto"/>
        <w:jc w:val="both"/>
        <w:rPr>
          <w:rFonts w:ascii="Times New Roman" w:hAnsi="Times New Roman" w:cs="Times New Roman"/>
          <w:color w:val="000000" w:themeColor="text1"/>
          <w:sz w:val="24"/>
          <w:szCs w:val="24"/>
        </w:rPr>
      </w:pPr>
      <w:r w:rsidRPr="00443CA8">
        <w:rPr>
          <w:rFonts w:ascii="Times New Roman" w:hAnsi="Times New Roman" w:cs="Times New Roman"/>
          <w:color w:val="000000" w:themeColor="text1"/>
          <w:sz w:val="24"/>
          <w:szCs w:val="24"/>
        </w:rPr>
        <w:t>The high concentration of R&amp;I activities in Europe and agglomeration effects imply that there are regions with more incentives for R&amp;I investments. Increasing concentration of economic and innovative activities in capitals and metropolitan areas, on the one hand, and decline in industrial or peripheral areas on the other lead to negative developments in regions with low capacity to exploit innovation.</w:t>
      </w:r>
    </w:p>
    <w:p w14:paraId="1BE98293" w14:textId="38112D1B" w:rsidR="005313E7" w:rsidRDefault="0028620D"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Horizon Europe</w:t>
      </w:r>
      <w:r w:rsidR="00942546" w:rsidRPr="006340BE">
        <w:rPr>
          <w:rFonts w:ascii="Times New Roman" w:hAnsi="Times New Roman" w:cs="Times New Roman"/>
          <w:color w:val="000000" w:themeColor="text1"/>
          <w:sz w:val="24"/>
          <w:szCs w:val="24"/>
        </w:rPr>
        <w:t xml:space="preserve"> </w:t>
      </w:r>
      <w:r w:rsidR="001B2C6F" w:rsidRPr="006340BE">
        <w:rPr>
          <w:rFonts w:ascii="Times New Roman" w:hAnsi="Times New Roman" w:cs="Times New Roman"/>
          <w:color w:val="000000" w:themeColor="text1"/>
          <w:sz w:val="24"/>
          <w:szCs w:val="24"/>
        </w:rPr>
        <w:t xml:space="preserve">will </w:t>
      </w:r>
      <w:r w:rsidR="00942546" w:rsidRPr="006340BE">
        <w:rPr>
          <w:rFonts w:ascii="Times New Roman" w:hAnsi="Times New Roman" w:cs="Times New Roman"/>
          <w:color w:val="000000" w:themeColor="text1"/>
          <w:sz w:val="24"/>
          <w:szCs w:val="24"/>
        </w:rPr>
        <w:t xml:space="preserve">support the less performing Member States, through the </w:t>
      </w:r>
      <w:r w:rsidR="00A84104" w:rsidRPr="006340BE">
        <w:rPr>
          <w:rFonts w:ascii="Times New Roman" w:hAnsi="Times New Roman" w:cs="Times New Roman"/>
          <w:color w:val="000000" w:themeColor="text1"/>
          <w:sz w:val="24"/>
          <w:szCs w:val="24"/>
        </w:rPr>
        <w:t>‘</w:t>
      </w:r>
      <w:r w:rsidR="008B50AB" w:rsidRPr="006340BE">
        <w:rPr>
          <w:rFonts w:ascii="Times New Roman" w:hAnsi="Times New Roman" w:cs="Times New Roman"/>
          <w:i/>
          <w:iCs/>
          <w:color w:val="000000" w:themeColor="text1"/>
          <w:sz w:val="24"/>
          <w:szCs w:val="24"/>
        </w:rPr>
        <w:t xml:space="preserve">Widening </w:t>
      </w:r>
      <w:r w:rsidR="008D3C51" w:rsidRPr="006340BE">
        <w:rPr>
          <w:rFonts w:ascii="Times New Roman" w:hAnsi="Times New Roman" w:cs="Times New Roman"/>
          <w:i/>
          <w:iCs/>
          <w:color w:val="000000" w:themeColor="text1"/>
          <w:sz w:val="24"/>
          <w:szCs w:val="24"/>
        </w:rPr>
        <w:t>participation and strengthening ERA</w:t>
      </w:r>
      <w:r w:rsidR="00A84104" w:rsidRPr="006340BE">
        <w:rPr>
          <w:rFonts w:ascii="Times New Roman" w:hAnsi="Times New Roman" w:cs="Times New Roman"/>
          <w:color w:val="000000" w:themeColor="text1"/>
          <w:sz w:val="24"/>
          <w:szCs w:val="24"/>
        </w:rPr>
        <w:t>’</w:t>
      </w:r>
      <w:r w:rsidR="007C52BA" w:rsidRPr="006340BE">
        <w:rPr>
          <w:rFonts w:ascii="Times New Roman" w:hAnsi="Times New Roman" w:cs="Times New Roman"/>
          <w:color w:val="000000" w:themeColor="text1"/>
          <w:sz w:val="24"/>
          <w:szCs w:val="24"/>
        </w:rPr>
        <w:t xml:space="preserve"> </w:t>
      </w:r>
      <w:r w:rsidR="00942546" w:rsidRPr="006340BE">
        <w:rPr>
          <w:rFonts w:ascii="Times New Roman" w:hAnsi="Times New Roman" w:cs="Times New Roman"/>
          <w:color w:val="000000" w:themeColor="text1"/>
          <w:sz w:val="24"/>
          <w:szCs w:val="24"/>
        </w:rPr>
        <w:t xml:space="preserve">package, </w:t>
      </w:r>
      <w:r w:rsidR="007C52BA" w:rsidRPr="006340BE">
        <w:rPr>
          <w:rFonts w:ascii="Times New Roman" w:hAnsi="Times New Roman" w:cs="Times New Roman"/>
          <w:color w:val="000000" w:themeColor="text1"/>
          <w:sz w:val="24"/>
          <w:szCs w:val="24"/>
        </w:rPr>
        <w:t>to valorise and connect existing ecosystems</w:t>
      </w:r>
      <w:r w:rsidR="00942546" w:rsidRPr="006340BE">
        <w:rPr>
          <w:rFonts w:ascii="Times New Roman" w:hAnsi="Times New Roman" w:cs="Times New Roman"/>
          <w:color w:val="000000" w:themeColor="text1"/>
          <w:sz w:val="24"/>
          <w:szCs w:val="24"/>
        </w:rPr>
        <w:t xml:space="preserve">. It will </w:t>
      </w:r>
      <w:r w:rsidR="000C38CB" w:rsidRPr="006340BE">
        <w:rPr>
          <w:rFonts w:ascii="Times New Roman" w:hAnsi="Times New Roman" w:cs="Times New Roman"/>
          <w:color w:val="000000" w:themeColor="text1"/>
          <w:sz w:val="24"/>
          <w:szCs w:val="24"/>
        </w:rPr>
        <w:t>support</w:t>
      </w:r>
      <w:r w:rsidR="00E633B0" w:rsidRPr="006340BE">
        <w:rPr>
          <w:rFonts w:ascii="Times New Roman" w:hAnsi="Times New Roman" w:cs="Times New Roman"/>
          <w:color w:val="000000" w:themeColor="text1"/>
          <w:sz w:val="24"/>
          <w:szCs w:val="24"/>
        </w:rPr>
        <w:t xml:space="preserve"> collaborations with </w:t>
      </w:r>
      <w:r w:rsidR="00AD67D3" w:rsidRPr="006340BE">
        <w:rPr>
          <w:rFonts w:ascii="Times New Roman" w:hAnsi="Times New Roman" w:cs="Times New Roman"/>
          <w:color w:val="000000" w:themeColor="text1"/>
          <w:sz w:val="24"/>
          <w:szCs w:val="24"/>
        </w:rPr>
        <w:t xml:space="preserve">more </w:t>
      </w:r>
      <w:r w:rsidR="00543032" w:rsidRPr="006340BE">
        <w:rPr>
          <w:rFonts w:ascii="Times New Roman" w:hAnsi="Times New Roman" w:cs="Times New Roman"/>
          <w:color w:val="000000" w:themeColor="text1"/>
          <w:sz w:val="24"/>
          <w:szCs w:val="24"/>
        </w:rPr>
        <w:t>experienced</w:t>
      </w:r>
      <w:r w:rsidR="00AD67D3" w:rsidRPr="006340BE">
        <w:rPr>
          <w:rFonts w:ascii="Times New Roman" w:hAnsi="Times New Roman" w:cs="Times New Roman"/>
          <w:color w:val="000000" w:themeColor="text1"/>
          <w:sz w:val="24"/>
          <w:szCs w:val="24"/>
        </w:rPr>
        <w:t xml:space="preserve"> counterparts in order to enhance access to excellence.</w:t>
      </w:r>
      <w:r w:rsidR="001C6784" w:rsidRPr="006340BE">
        <w:rPr>
          <w:rFonts w:ascii="Times New Roman" w:hAnsi="Times New Roman" w:cs="Times New Roman"/>
          <w:color w:val="000000" w:themeColor="text1"/>
          <w:sz w:val="24"/>
          <w:szCs w:val="24"/>
        </w:rPr>
        <w:t xml:space="preserve"> </w:t>
      </w:r>
      <w:r w:rsidR="00BB655F" w:rsidRPr="006340BE">
        <w:rPr>
          <w:rFonts w:ascii="Times New Roman" w:hAnsi="Times New Roman" w:cs="Times New Roman"/>
          <w:color w:val="000000" w:themeColor="text1"/>
          <w:sz w:val="24"/>
          <w:szCs w:val="24"/>
        </w:rPr>
        <w:t xml:space="preserve">The Widening programme will continue to operate in synergy with the Cohesion Policy. </w:t>
      </w:r>
      <w:r w:rsidR="00953ACB" w:rsidRPr="006340BE">
        <w:rPr>
          <w:rFonts w:ascii="Times New Roman" w:hAnsi="Times New Roman" w:cs="Times New Roman"/>
          <w:color w:val="000000" w:themeColor="text1"/>
          <w:sz w:val="24"/>
          <w:szCs w:val="24"/>
        </w:rPr>
        <w:t>A smart and coherent use of Cohesion policy</w:t>
      </w:r>
      <w:r w:rsidR="000C38CB" w:rsidRPr="006340BE">
        <w:rPr>
          <w:rFonts w:ascii="Times New Roman" w:hAnsi="Times New Roman" w:cs="Times New Roman"/>
          <w:color w:val="000000" w:themeColor="text1"/>
          <w:sz w:val="24"/>
          <w:szCs w:val="24"/>
        </w:rPr>
        <w:t xml:space="preserve"> support</w:t>
      </w:r>
      <w:r w:rsidR="00953ACB" w:rsidRPr="006340BE">
        <w:rPr>
          <w:rFonts w:ascii="Times New Roman" w:hAnsi="Times New Roman" w:cs="Times New Roman"/>
          <w:color w:val="000000" w:themeColor="text1"/>
          <w:sz w:val="24"/>
          <w:szCs w:val="24"/>
        </w:rPr>
        <w:t xml:space="preserve"> </w:t>
      </w:r>
      <w:r w:rsidR="00BB655F" w:rsidRPr="006340BE">
        <w:rPr>
          <w:rFonts w:ascii="Times New Roman" w:hAnsi="Times New Roman" w:cs="Times New Roman"/>
          <w:color w:val="000000" w:themeColor="text1"/>
          <w:sz w:val="24"/>
          <w:szCs w:val="24"/>
        </w:rPr>
        <w:t xml:space="preserve">should </w:t>
      </w:r>
      <w:r w:rsidR="00DB7261" w:rsidRPr="006340BE">
        <w:rPr>
          <w:rFonts w:ascii="Times New Roman" w:hAnsi="Times New Roman" w:cs="Times New Roman"/>
          <w:color w:val="000000" w:themeColor="text1"/>
          <w:sz w:val="24"/>
          <w:szCs w:val="24"/>
        </w:rPr>
        <w:t xml:space="preserve">complement </w:t>
      </w:r>
      <w:r w:rsidR="00E13E27" w:rsidRPr="006340BE">
        <w:rPr>
          <w:rFonts w:ascii="Times New Roman" w:hAnsi="Times New Roman" w:cs="Times New Roman"/>
          <w:color w:val="000000" w:themeColor="text1"/>
          <w:sz w:val="24"/>
          <w:szCs w:val="24"/>
        </w:rPr>
        <w:t>EU and national R&amp;I programmes</w:t>
      </w:r>
      <w:r w:rsidR="00DB7261" w:rsidRPr="006340BE">
        <w:rPr>
          <w:rFonts w:ascii="Times New Roman" w:hAnsi="Times New Roman" w:cs="Times New Roman"/>
          <w:color w:val="000000" w:themeColor="text1"/>
          <w:sz w:val="24"/>
          <w:szCs w:val="24"/>
        </w:rPr>
        <w:t xml:space="preserve"> in</w:t>
      </w:r>
      <w:r w:rsidR="00E13E27" w:rsidRPr="006340BE">
        <w:rPr>
          <w:rFonts w:ascii="Times New Roman" w:hAnsi="Times New Roman" w:cs="Times New Roman"/>
          <w:color w:val="000000" w:themeColor="text1"/>
          <w:sz w:val="24"/>
          <w:szCs w:val="24"/>
        </w:rPr>
        <w:t xml:space="preserve"> </w:t>
      </w:r>
      <w:r w:rsidR="00953ACB" w:rsidRPr="006340BE">
        <w:rPr>
          <w:rFonts w:ascii="Times New Roman" w:hAnsi="Times New Roman" w:cs="Times New Roman"/>
          <w:color w:val="000000" w:themeColor="text1"/>
          <w:sz w:val="24"/>
          <w:szCs w:val="24"/>
        </w:rPr>
        <w:t>upgrad</w:t>
      </w:r>
      <w:r w:rsidR="00620331" w:rsidRPr="006340BE">
        <w:rPr>
          <w:rFonts w:ascii="Times New Roman" w:hAnsi="Times New Roman" w:cs="Times New Roman"/>
          <w:color w:val="000000" w:themeColor="text1"/>
          <w:sz w:val="24"/>
          <w:szCs w:val="24"/>
        </w:rPr>
        <w:t>ing</w:t>
      </w:r>
      <w:r w:rsidR="00DB7261" w:rsidRPr="006340BE">
        <w:rPr>
          <w:rFonts w:ascii="Times New Roman" w:hAnsi="Times New Roman" w:cs="Times New Roman"/>
          <w:color w:val="000000" w:themeColor="text1"/>
          <w:sz w:val="24"/>
          <w:szCs w:val="24"/>
        </w:rPr>
        <w:t xml:space="preserve"> </w:t>
      </w:r>
      <w:r w:rsidR="00424FA0" w:rsidRPr="006340BE">
        <w:rPr>
          <w:rFonts w:ascii="Times New Roman" w:hAnsi="Times New Roman" w:cs="Times New Roman"/>
          <w:color w:val="000000" w:themeColor="text1"/>
          <w:sz w:val="24"/>
          <w:szCs w:val="24"/>
        </w:rPr>
        <w:t>knowledge infrastructure</w:t>
      </w:r>
      <w:r w:rsidR="00E9757A" w:rsidRPr="006340BE">
        <w:rPr>
          <w:rFonts w:ascii="Times New Roman" w:hAnsi="Times New Roman" w:cs="Times New Roman"/>
          <w:color w:val="000000" w:themeColor="text1"/>
          <w:sz w:val="24"/>
          <w:szCs w:val="24"/>
        </w:rPr>
        <w:t>s</w:t>
      </w:r>
      <w:r w:rsidR="00424FA0" w:rsidRPr="006340BE">
        <w:rPr>
          <w:rFonts w:ascii="Times New Roman" w:hAnsi="Times New Roman" w:cs="Times New Roman"/>
          <w:color w:val="000000" w:themeColor="text1"/>
          <w:sz w:val="24"/>
          <w:szCs w:val="24"/>
        </w:rPr>
        <w:t xml:space="preserve">, </w:t>
      </w:r>
      <w:r w:rsidR="00953ACB" w:rsidRPr="006340BE">
        <w:rPr>
          <w:rFonts w:ascii="Times New Roman" w:hAnsi="Times New Roman" w:cs="Times New Roman"/>
          <w:color w:val="000000" w:themeColor="text1"/>
          <w:sz w:val="24"/>
          <w:szCs w:val="24"/>
        </w:rPr>
        <w:t>build</w:t>
      </w:r>
      <w:r w:rsidR="00C25B92" w:rsidRPr="006340BE">
        <w:rPr>
          <w:rFonts w:ascii="Times New Roman" w:hAnsi="Times New Roman" w:cs="Times New Roman"/>
          <w:color w:val="000000" w:themeColor="text1"/>
          <w:sz w:val="24"/>
          <w:szCs w:val="24"/>
        </w:rPr>
        <w:t>ing</w:t>
      </w:r>
      <w:r w:rsidR="00953ACB" w:rsidRPr="006340BE">
        <w:rPr>
          <w:rFonts w:ascii="Times New Roman" w:hAnsi="Times New Roman" w:cs="Times New Roman"/>
          <w:color w:val="000000" w:themeColor="text1"/>
          <w:sz w:val="24"/>
          <w:szCs w:val="24"/>
        </w:rPr>
        <w:t xml:space="preserve"> capacity </w:t>
      </w:r>
      <w:r w:rsidR="00D71FAC" w:rsidRPr="006340BE">
        <w:rPr>
          <w:rFonts w:ascii="Times New Roman" w:hAnsi="Times New Roman" w:cs="Times New Roman"/>
          <w:color w:val="000000" w:themeColor="text1"/>
          <w:sz w:val="24"/>
          <w:szCs w:val="24"/>
        </w:rPr>
        <w:t>and</w:t>
      </w:r>
      <w:r w:rsidR="00953ACB" w:rsidRPr="006340BE">
        <w:rPr>
          <w:rFonts w:ascii="Times New Roman" w:hAnsi="Times New Roman" w:cs="Times New Roman"/>
          <w:color w:val="000000" w:themeColor="text1"/>
          <w:sz w:val="24"/>
          <w:szCs w:val="24"/>
        </w:rPr>
        <w:t xml:space="preserve"> induc</w:t>
      </w:r>
      <w:r w:rsidR="00BB655F" w:rsidRPr="006340BE">
        <w:rPr>
          <w:rFonts w:ascii="Times New Roman" w:hAnsi="Times New Roman" w:cs="Times New Roman"/>
          <w:color w:val="000000" w:themeColor="text1"/>
          <w:sz w:val="24"/>
          <w:szCs w:val="24"/>
        </w:rPr>
        <w:t>ing</w:t>
      </w:r>
      <w:r w:rsidR="00953ACB" w:rsidRPr="006340BE">
        <w:rPr>
          <w:rFonts w:ascii="Times New Roman" w:hAnsi="Times New Roman" w:cs="Times New Roman"/>
          <w:color w:val="000000" w:themeColor="text1"/>
          <w:sz w:val="24"/>
          <w:szCs w:val="24"/>
        </w:rPr>
        <w:t xml:space="preserve"> structural</w:t>
      </w:r>
      <w:r w:rsidR="00424FA0" w:rsidRPr="006340BE">
        <w:rPr>
          <w:rFonts w:ascii="Times New Roman" w:hAnsi="Times New Roman" w:cs="Times New Roman"/>
          <w:color w:val="000000" w:themeColor="text1"/>
          <w:sz w:val="24"/>
          <w:szCs w:val="24"/>
        </w:rPr>
        <w:t xml:space="preserve"> </w:t>
      </w:r>
      <w:r w:rsidR="00E9757A" w:rsidRPr="006340BE">
        <w:rPr>
          <w:rFonts w:ascii="Times New Roman" w:hAnsi="Times New Roman" w:cs="Times New Roman"/>
          <w:color w:val="000000" w:themeColor="text1"/>
          <w:sz w:val="24"/>
          <w:szCs w:val="24"/>
        </w:rPr>
        <w:t>transformation</w:t>
      </w:r>
      <w:r w:rsidR="00DB7261" w:rsidRPr="006340BE">
        <w:rPr>
          <w:rFonts w:ascii="Times New Roman" w:hAnsi="Times New Roman" w:cs="Times New Roman"/>
          <w:color w:val="000000" w:themeColor="text1"/>
          <w:sz w:val="24"/>
          <w:szCs w:val="24"/>
        </w:rPr>
        <w:t>s</w:t>
      </w:r>
      <w:r w:rsidR="00BB655F" w:rsidRPr="006340BE">
        <w:rPr>
          <w:rFonts w:ascii="Times New Roman" w:hAnsi="Times New Roman" w:cs="Times New Roman"/>
          <w:color w:val="000000" w:themeColor="text1"/>
          <w:sz w:val="24"/>
          <w:szCs w:val="24"/>
        </w:rPr>
        <w:t xml:space="preserve">, on the basis of well-designed smart specialisation strategies. </w:t>
      </w:r>
      <w:r w:rsidR="005313E7" w:rsidRPr="006340BE">
        <w:rPr>
          <w:rFonts w:ascii="Times New Roman" w:hAnsi="Times New Roman" w:cs="Times New Roman"/>
          <w:color w:val="000000" w:themeColor="text1"/>
          <w:sz w:val="24"/>
          <w:szCs w:val="24"/>
        </w:rPr>
        <w:t>Other EU instruments,</w:t>
      </w:r>
      <w:r w:rsidR="005313E7">
        <w:rPr>
          <w:rFonts w:ascii="Times New Roman" w:hAnsi="Times New Roman" w:cs="Times New Roman"/>
          <w:color w:val="000000" w:themeColor="text1"/>
          <w:sz w:val="24"/>
          <w:szCs w:val="24"/>
        </w:rPr>
        <w:t xml:space="preserve"> as well as i</w:t>
      </w:r>
      <w:r w:rsidR="005313E7" w:rsidRPr="006340BE">
        <w:rPr>
          <w:rFonts w:ascii="Times New Roman" w:hAnsi="Times New Roman" w:cs="Times New Roman"/>
          <w:color w:val="000000" w:themeColor="text1"/>
          <w:sz w:val="24"/>
          <w:szCs w:val="24"/>
        </w:rPr>
        <w:t xml:space="preserve">nvestments through the </w:t>
      </w:r>
      <w:r w:rsidR="005313E7" w:rsidRPr="006340BE">
        <w:rPr>
          <w:rFonts w:ascii="Times New Roman" w:hAnsi="Times New Roman" w:cs="Times New Roman"/>
          <w:i/>
          <w:iCs/>
          <w:color w:val="000000" w:themeColor="text1"/>
          <w:sz w:val="24"/>
          <w:szCs w:val="24"/>
        </w:rPr>
        <w:t>Recovery and Resilience Facility</w:t>
      </w:r>
      <w:r w:rsidR="005313E7" w:rsidRPr="006340BE">
        <w:rPr>
          <w:rFonts w:ascii="Times New Roman" w:hAnsi="Times New Roman" w:cs="Times New Roman"/>
          <w:iCs/>
          <w:color w:val="000000" w:themeColor="text1"/>
          <w:sz w:val="24"/>
          <w:szCs w:val="24"/>
        </w:rPr>
        <w:t xml:space="preserve"> </w:t>
      </w:r>
      <w:r w:rsidR="003D4CD7">
        <w:rPr>
          <w:rFonts w:ascii="Times New Roman" w:hAnsi="Times New Roman" w:cs="Times New Roman"/>
          <w:iCs/>
          <w:color w:val="000000" w:themeColor="text1"/>
          <w:sz w:val="24"/>
          <w:szCs w:val="24"/>
        </w:rPr>
        <w:t>should</w:t>
      </w:r>
      <w:r w:rsidR="005313E7" w:rsidRPr="006340BE">
        <w:rPr>
          <w:rFonts w:ascii="Times New Roman" w:hAnsi="Times New Roman" w:cs="Times New Roman"/>
          <w:iCs/>
          <w:color w:val="000000" w:themeColor="text1"/>
          <w:sz w:val="24"/>
          <w:szCs w:val="24"/>
        </w:rPr>
        <w:t xml:space="preserve"> also support reforms in the research and innovation domain</w:t>
      </w:r>
      <w:r w:rsidR="005313E7" w:rsidRPr="006340BE">
        <w:rPr>
          <w:rFonts w:ascii="Times New Roman" w:hAnsi="Times New Roman" w:cs="Times New Roman"/>
          <w:color w:val="000000" w:themeColor="text1"/>
          <w:sz w:val="24"/>
          <w:szCs w:val="24"/>
        </w:rPr>
        <w:t xml:space="preserve">. </w:t>
      </w:r>
    </w:p>
    <w:p w14:paraId="3B1842A1" w14:textId="77777777" w:rsidR="00D94C4C" w:rsidRDefault="00D94C4C" w:rsidP="00F74968">
      <w:pPr>
        <w:spacing w:before="120" w:after="0" w:line="240" w:lineRule="auto"/>
        <w:jc w:val="both"/>
        <w:rPr>
          <w:rFonts w:ascii="Times New Roman" w:hAnsi="Times New Roman" w:cs="Times New Roman"/>
          <w:color w:val="000000" w:themeColor="text1"/>
          <w:sz w:val="24"/>
          <w:szCs w:val="24"/>
        </w:rPr>
      </w:pPr>
    </w:p>
    <w:p w14:paraId="4D967A37" w14:textId="4F50C44D" w:rsidR="008B50AB" w:rsidRPr="006340BE" w:rsidRDefault="003D4CD7" w:rsidP="005313E7">
      <w:pPr>
        <w:spacing w:before="120"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w:t>
      </w:r>
      <w:r w:rsidR="00060602" w:rsidRPr="00F74968">
        <w:rPr>
          <w:rFonts w:ascii="Times New Roman" w:hAnsi="Times New Roman" w:cs="Times New Roman"/>
          <w:color w:val="000000" w:themeColor="text1"/>
          <w:sz w:val="24"/>
          <w:szCs w:val="24"/>
        </w:rPr>
        <w:t xml:space="preserve"> Commission will </w:t>
      </w:r>
      <w:r>
        <w:rPr>
          <w:rFonts w:ascii="Times New Roman" w:hAnsi="Times New Roman" w:cs="Times New Roman"/>
          <w:color w:val="000000" w:themeColor="text1"/>
          <w:sz w:val="24"/>
          <w:szCs w:val="24"/>
        </w:rPr>
        <w:t xml:space="preserve">stimulate policy reform through regular dialogue and stronger interaction </w:t>
      </w:r>
      <w:r w:rsidR="00060602" w:rsidRPr="00F74968">
        <w:rPr>
          <w:rFonts w:ascii="Times New Roman" w:hAnsi="Times New Roman" w:cs="Times New Roman"/>
          <w:color w:val="000000" w:themeColor="text1"/>
          <w:sz w:val="24"/>
          <w:szCs w:val="24"/>
        </w:rPr>
        <w:t xml:space="preserve">with Member States. </w:t>
      </w:r>
      <w:r w:rsidR="00111BB4" w:rsidRPr="006340BE">
        <w:rPr>
          <w:rFonts w:ascii="Times New Roman" w:hAnsi="Times New Roman" w:cs="Times New Roman"/>
          <w:color w:val="000000" w:themeColor="text1"/>
          <w:sz w:val="24"/>
          <w:szCs w:val="24"/>
        </w:rPr>
        <w:t xml:space="preserve">Strategic and coordinated support will </w:t>
      </w:r>
      <w:r w:rsidR="00BB655F" w:rsidRPr="006340BE">
        <w:rPr>
          <w:rFonts w:ascii="Times New Roman" w:hAnsi="Times New Roman" w:cs="Times New Roman"/>
          <w:color w:val="000000" w:themeColor="text1"/>
          <w:sz w:val="24"/>
          <w:szCs w:val="24"/>
        </w:rPr>
        <w:t xml:space="preserve">also </w:t>
      </w:r>
      <w:r w:rsidR="00111BB4" w:rsidRPr="006340BE">
        <w:rPr>
          <w:rFonts w:ascii="Times New Roman" w:hAnsi="Times New Roman" w:cs="Times New Roman"/>
          <w:color w:val="000000" w:themeColor="text1"/>
          <w:sz w:val="24"/>
          <w:szCs w:val="24"/>
        </w:rPr>
        <w:t xml:space="preserve">be offered to </w:t>
      </w:r>
      <w:r w:rsidR="00BB509B" w:rsidRPr="006340BE">
        <w:rPr>
          <w:rFonts w:ascii="Times New Roman" w:hAnsi="Times New Roman" w:cs="Times New Roman"/>
          <w:color w:val="000000" w:themeColor="text1"/>
          <w:sz w:val="24"/>
          <w:szCs w:val="24"/>
        </w:rPr>
        <w:t>regions and cities</w:t>
      </w:r>
      <w:r w:rsidR="00111BB4" w:rsidRPr="006340BE">
        <w:rPr>
          <w:rFonts w:ascii="Times New Roman" w:hAnsi="Times New Roman" w:cs="Times New Roman"/>
          <w:color w:val="000000" w:themeColor="text1"/>
          <w:sz w:val="24"/>
          <w:szCs w:val="24"/>
        </w:rPr>
        <w:t xml:space="preserve"> build</w:t>
      </w:r>
      <w:r w:rsidR="008063C1" w:rsidRPr="006340BE">
        <w:rPr>
          <w:rFonts w:ascii="Times New Roman" w:hAnsi="Times New Roman" w:cs="Times New Roman"/>
          <w:color w:val="000000" w:themeColor="text1"/>
          <w:sz w:val="24"/>
          <w:szCs w:val="24"/>
        </w:rPr>
        <w:t>ing</w:t>
      </w:r>
      <w:r w:rsidR="00111BB4" w:rsidRPr="006340BE">
        <w:rPr>
          <w:rFonts w:ascii="Times New Roman" w:hAnsi="Times New Roman" w:cs="Times New Roman"/>
          <w:color w:val="000000" w:themeColor="text1"/>
          <w:sz w:val="24"/>
          <w:szCs w:val="24"/>
        </w:rPr>
        <w:t xml:space="preserve"> on successful initiatives such as the </w:t>
      </w:r>
      <w:r w:rsidR="00111BB4" w:rsidRPr="006340BE">
        <w:rPr>
          <w:rFonts w:ascii="Times New Roman" w:hAnsi="Times New Roman" w:cs="Times New Roman"/>
          <w:i/>
          <w:iCs/>
          <w:color w:val="000000" w:themeColor="text1"/>
          <w:sz w:val="24"/>
          <w:szCs w:val="24"/>
        </w:rPr>
        <w:t>Knowledge Exchange Platform</w:t>
      </w:r>
      <w:r w:rsidR="00111BB4" w:rsidRPr="006340BE">
        <w:rPr>
          <w:rStyle w:val="FootnoteReference"/>
          <w:rFonts w:ascii="Times New Roman" w:hAnsi="Times New Roman" w:cs="Times New Roman"/>
          <w:color w:val="000000" w:themeColor="text1"/>
          <w:sz w:val="24"/>
          <w:szCs w:val="24"/>
        </w:rPr>
        <w:footnoteReference w:id="37"/>
      </w:r>
      <w:r w:rsidR="00111BB4" w:rsidRPr="006340BE">
        <w:rPr>
          <w:rFonts w:ascii="Times New Roman" w:hAnsi="Times New Roman" w:cs="Times New Roman"/>
          <w:color w:val="000000" w:themeColor="text1"/>
          <w:sz w:val="24"/>
          <w:szCs w:val="24"/>
        </w:rPr>
        <w:t xml:space="preserve"> (together with the Committee of the Regions) and the Science meets Regions initiative</w:t>
      </w:r>
      <w:r w:rsidR="008063C1" w:rsidRPr="006340BE">
        <w:rPr>
          <w:rFonts w:ascii="Times New Roman" w:hAnsi="Times New Roman" w:cs="Times New Roman"/>
          <w:color w:val="000000" w:themeColor="text1"/>
          <w:sz w:val="24"/>
          <w:szCs w:val="24"/>
        </w:rPr>
        <w:t>. These will be</w:t>
      </w:r>
      <w:r w:rsidR="00111BB4" w:rsidRPr="006340BE">
        <w:rPr>
          <w:rFonts w:ascii="Times New Roman" w:hAnsi="Times New Roman" w:cs="Times New Roman"/>
          <w:color w:val="000000" w:themeColor="text1"/>
          <w:sz w:val="24"/>
          <w:szCs w:val="24"/>
        </w:rPr>
        <w:t xml:space="preserve"> upgrad</w:t>
      </w:r>
      <w:r w:rsidR="008063C1" w:rsidRPr="006340BE">
        <w:rPr>
          <w:rFonts w:ascii="Times New Roman" w:hAnsi="Times New Roman" w:cs="Times New Roman"/>
          <w:color w:val="000000" w:themeColor="text1"/>
          <w:sz w:val="24"/>
          <w:szCs w:val="24"/>
        </w:rPr>
        <w:t>ed</w:t>
      </w:r>
      <w:r w:rsidR="00111BB4" w:rsidRPr="006340BE">
        <w:rPr>
          <w:rFonts w:ascii="Times New Roman" w:hAnsi="Times New Roman" w:cs="Times New Roman"/>
          <w:color w:val="000000" w:themeColor="text1"/>
          <w:sz w:val="24"/>
          <w:szCs w:val="24"/>
        </w:rPr>
        <w:t xml:space="preserve"> to a </w:t>
      </w:r>
      <w:r w:rsidR="003A625D" w:rsidRPr="006340BE">
        <w:rPr>
          <w:rFonts w:ascii="Times New Roman" w:hAnsi="Times New Roman" w:cs="Times New Roman"/>
          <w:color w:val="000000" w:themeColor="text1"/>
          <w:sz w:val="24"/>
          <w:szCs w:val="24"/>
        </w:rPr>
        <w:t>strategic</w:t>
      </w:r>
      <w:r w:rsidR="00111BB4" w:rsidRPr="006340BE">
        <w:rPr>
          <w:rFonts w:ascii="Times New Roman" w:hAnsi="Times New Roman" w:cs="Times New Roman"/>
          <w:color w:val="000000" w:themeColor="text1"/>
          <w:sz w:val="24"/>
          <w:szCs w:val="24"/>
        </w:rPr>
        <w:t xml:space="preserve"> level ensuring an </w:t>
      </w:r>
      <w:r w:rsidR="008063C1" w:rsidRPr="006340BE">
        <w:rPr>
          <w:rFonts w:ascii="Times New Roman" w:hAnsi="Times New Roman" w:cs="Times New Roman"/>
          <w:color w:val="000000" w:themeColor="text1"/>
          <w:sz w:val="24"/>
          <w:szCs w:val="24"/>
        </w:rPr>
        <w:t xml:space="preserve">effective </w:t>
      </w:r>
      <w:r w:rsidR="00111BB4" w:rsidRPr="006340BE">
        <w:rPr>
          <w:rFonts w:ascii="Times New Roman" w:hAnsi="Times New Roman" w:cs="Times New Roman"/>
          <w:color w:val="000000" w:themeColor="text1"/>
          <w:sz w:val="24"/>
          <w:szCs w:val="24"/>
        </w:rPr>
        <w:t>dialogue for setting</w:t>
      </w:r>
      <w:r w:rsidR="008063C1" w:rsidRPr="006340BE">
        <w:rPr>
          <w:rFonts w:ascii="Times New Roman" w:hAnsi="Times New Roman" w:cs="Times New Roman"/>
          <w:color w:val="000000" w:themeColor="text1"/>
          <w:sz w:val="24"/>
          <w:szCs w:val="24"/>
        </w:rPr>
        <w:t xml:space="preserve"> priorities and promoting </w:t>
      </w:r>
      <w:r w:rsidR="00D43093" w:rsidRPr="006340BE">
        <w:rPr>
          <w:rFonts w:ascii="Times New Roman" w:hAnsi="Times New Roman" w:cs="Times New Roman"/>
          <w:color w:val="000000" w:themeColor="text1"/>
          <w:sz w:val="24"/>
          <w:szCs w:val="24"/>
        </w:rPr>
        <w:t>synergies</w:t>
      </w:r>
      <w:r w:rsidR="0081737C" w:rsidRPr="006340BE">
        <w:rPr>
          <w:rFonts w:ascii="Times New Roman" w:hAnsi="Times New Roman" w:cs="Times New Roman"/>
          <w:color w:val="000000" w:themeColor="text1"/>
          <w:sz w:val="24"/>
          <w:szCs w:val="24"/>
        </w:rPr>
        <w:t xml:space="preserve"> </w:t>
      </w:r>
      <w:r w:rsidR="008063C1" w:rsidRPr="006340BE">
        <w:rPr>
          <w:rFonts w:ascii="Times New Roman" w:hAnsi="Times New Roman" w:cs="Times New Roman"/>
          <w:color w:val="000000" w:themeColor="text1"/>
          <w:sz w:val="24"/>
          <w:szCs w:val="24"/>
        </w:rPr>
        <w:lastRenderedPageBreak/>
        <w:t xml:space="preserve">between </w:t>
      </w:r>
      <w:proofErr w:type="gramStart"/>
      <w:r w:rsidR="006247D4" w:rsidRPr="006340BE">
        <w:rPr>
          <w:rFonts w:ascii="Times New Roman" w:hAnsi="Times New Roman" w:cs="Times New Roman"/>
          <w:color w:val="000000" w:themeColor="text1"/>
          <w:sz w:val="24"/>
          <w:szCs w:val="24"/>
        </w:rPr>
        <w:t>R&amp;I</w:t>
      </w:r>
      <w:proofErr w:type="gramEnd"/>
      <w:r w:rsidR="006247D4" w:rsidRPr="006340BE">
        <w:rPr>
          <w:rFonts w:ascii="Times New Roman" w:hAnsi="Times New Roman" w:cs="Times New Roman"/>
          <w:color w:val="000000" w:themeColor="text1"/>
          <w:sz w:val="24"/>
          <w:szCs w:val="24"/>
        </w:rPr>
        <w:t xml:space="preserve"> instruments </w:t>
      </w:r>
      <w:r w:rsidR="008063C1" w:rsidRPr="006340BE">
        <w:rPr>
          <w:rFonts w:ascii="Times New Roman" w:hAnsi="Times New Roman" w:cs="Times New Roman"/>
          <w:color w:val="000000" w:themeColor="text1"/>
          <w:sz w:val="24"/>
          <w:szCs w:val="24"/>
        </w:rPr>
        <w:t>and</w:t>
      </w:r>
      <w:r w:rsidR="006247D4" w:rsidRPr="006340BE">
        <w:rPr>
          <w:rFonts w:ascii="Times New Roman" w:hAnsi="Times New Roman" w:cs="Times New Roman"/>
          <w:color w:val="000000" w:themeColor="text1"/>
          <w:sz w:val="24"/>
          <w:szCs w:val="24"/>
        </w:rPr>
        <w:t xml:space="preserve"> </w:t>
      </w:r>
      <w:r w:rsidR="00F867C7" w:rsidRPr="006340BE">
        <w:rPr>
          <w:rFonts w:ascii="Times New Roman" w:hAnsi="Times New Roman" w:cs="Times New Roman"/>
          <w:color w:val="000000" w:themeColor="text1"/>
          <w:sz w:val="24"/>
          <w:szCs w:val="24"/>
        </w:rPr>
        <w:t xml:space="preserve">education </w:t>
      </w:r>
      <w:r w:rsidR="006247D4" w:rsidRPr="006340BE">
        <w:rPr>
          <w:rFonts w:ascii="Times New Roman" w:hAnsi="Times New Roman" w:cs="Times New Roman"/>
          <w:color w:val="000000" w:themeColor="text1"/>
          <w:sz w:val="24"/>
          <w:szCs w:val="24"/>
        </w:rPr>
        <w:t xml:space="preserve">and training with adequate mobilisation of </w:t>
      </w:r>
      <w:r w:rsidR="008072BB" w:rsidRPr="006340BE">
        <w:rPr>
          <w:rFonts w:ascii="Times New Roman" w:hAnsi="Times New Roman" w:cs="Times New Roman"/>
          <w:color w:val="000000" w:themeColor="text1"/>
          <w:sz w:val="24"/>
          <w:szCs w:val="24"/>
        </w:rPr>
        <w:t>cohesion policy f</w:t>
      </w:r>
      <w:r w:rsidR="00F867C7" w:rsidRPr="006340BE">
        <w:rPr>
          <w:rFonts w:ascii="Times New Roman" w:hAnsi="Times New Roman" w:cs="Times New Roman"/>
          <w:color w:val="000000" w:themeColor="text1"/>
          <w:sz w:val="24"/>
          <w:szCs w:val="24"/>
        </w:rPr>
        <w:t>unds.</w:t>
      </w:r>
      <w:r w:rsidR="006247D4" w:rsidRPr="006340BE">
        <w:rPr>
          <w:rFonts w:ascii="Times New Roman" w:hAnsi="Times New Roman" w:cs="Times New Roman"/>
          <w:color w:val="000000" w:themeColor="text1"/>
          <w:sz w:val="24"/>
          <w:szCs w:val="24"/>
        </w:rPr>
        <w:t xml:space="preserve"> </w:t>
      </w:r>
    </w:p>
    <w:p w14:paraId="1C3B11AE" w14:textId="05FC3F1A" w:rsidR="008B50AB" w:rsidRPr="007A78F6" w:rsidRDefault="008B50AB" w:rsidP="00F7496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iCs/>
          <w:color w:val="000000" w:themeColor="text1"/>
          <w:sz w:val="24"/>
          <w:szCs w:val="24"/>
          <w:highlight w:val="yellow"/>
        </w:rPr>
      </w:pPr>
      <w:r w:rsidRPr="007A78F6">
        <w:rPr>
          <w:rFonts w:ascii="Times New Roman" w:hAnsi="Times New Roman" w:cs="Times New Roman"/>
          <w:iCs/>
          <w:color w:val="000000" w:themeColor="text1"/>
          <w:sz w:val="24"/>
          <w:szCs w:val="24"/>
          <w:highlight w:val="yellow"/>
        </w:rPr>
        <w:t>The Commission:</w:t>
      </w:r>
    </w:p>
    <w:p w14:paraId="2121FD0E" w14:textId="40B9C4B9" w:rsidR="00111BB4" w:rsidRPr="007A78F6" w:rsidRDefault="006340BE" w:rsidP="006340BE">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highlight w:val="yellow"/>
        </w:rPr>
      </w:pPr>
      <w:r w:rsidRPr="007A78F6">
        <w:rPr>
          <w:rFonts w:ascii="Times New Roman" w:hAnsi="Times New Roman" w:cs="Times New Roman"/>
          <w:color w:val="000000" w:themeColor="text1"/>
          <w:sz w:val="24"/>
          <w:szCs w:val="24"/>
          <w:highlight w:val="yellow"/>
        </w:rPr>
        <w:t xml:space="preserve">Proposes that Member States lagging behind the EU average R&amp;D investment over GDP direct their investment efforts to increase their total investment in R&amp;D by 50% in the next 5 years. </w:t>
      </w:r>
      <w:r w:rsidR="003D4CD7" w:rsidRPr="007A78F6">
        <w:rPr>
          <w:rFonts w:ascii="Times New Roman" w:hAnsi="Times New Roman" w:cs="Times New Roman"/>
          <w:color w:val="000000" w:themeColor="text1"/>
          <w:sz w:val="24"/>
          <w:szCs w:val="24"/>
          <w:highlight w:val="yellow"/>
        </w:rPr>
        <w:t>T</w:t>
      </w:r>
      <w:r w:rsidRPr="007A78F6">
        <w:rPr>
          <w:rFonts w:ascii="Times New Roman" w:hAnsi="Times New Roman" w:cs="Times New Roman"/>
          <w:color w:val="000000" w:themeColor="text1"/>
          <w:sz w:val="24"/>
          <w:szCs w:val="24"/>
          <w:highlight w:val="yellow"/>
        </w:rPr>
        <w:t xml:space="preserve">he Commission will support Member States to reform their R&amp;I policies, </w:t>
      </w:r>
      <w:r w:rsidR="003D4CD7" w:rsidRPr="007A78F6">
        <w:rPr>
          <w:rFonts w:ascii="Times New Roman" w:hAnsi="Times New Roman" w:cs="Times New Roman"/>
          <w:color w:val="000000" w:themeColor="text1"/>
          <w:sz w:val="24"/>
          <w:szCs w:val="24"/>
          <w:highlight w:val="yellow"/>
        </w:rPr>
        <w:t xml:space="preserve">also </w:t>
      </w:r>
      <w:r w:rsidRPr="007A78F6">
        <w:rPr>
          <w:rFonts w:ascii="Times New Roman" w:hAnsi="Times New Roman" w:cs="Times New Roman"/>
          <w:color w:val="000000" w:themeColor="text1"/>
          <w:sz w:val="24"/>
          <w:szCs w:val="24"/>
          <w:highlight w:val="yellow"/>
        </w:rPr>
        <w:t xml:space="preserve">by targeting technical assistance to this end. It will facilitate the </w:t>
      </w:r>
      <w:r w:rsidR="002511DD" w:rsidRPr="007A78F6">
        <w:rPr>
          <w:rFonts w:ascii="Times New Roman" w:hAnsi="Times New Roman" w:cs="Times New Roman"/>
          <w:color w:val="000000" w:themeColor="text1"/>
          <w:sz w:val="24"/>
          <w:szCs w:val="24"/>
          <w:highlight w:val="yellow"/>
        </w:rPr>
        <w:t>coordination and complementarity</w:t>
      </w:r>
      <w:r w:rsidRPr="007A78F6">
        <w:rPr>
          <w:rFonts w:ascii="Times New Roman" w:hAnsi="Times New Roman" w:cs="Times New Roman"/>
          <w:color w:val="000000" w:themeColor="text1"/>
          <w:sz w:val="24"/>
          <w:szCs w:val="24"/>
          <w:highlight w:val="yellow"/>
        </w:rPr>
        <w:t xml:space="preserve"> of national and EU programmes, and contribute to the deployment of the recovery package.</w:t>
      </w:r>
      <w:r w:rsidR="00111BB4" w:rsidRPr="007A78F6">
        <w:rPr>
          <w:color w:val="000000" w:themeColor="text1"/>
          <w:sz w:val="24"/>
          <w:szCs w:val="24"/>
          <w:highlight w:val="yellow"/>
        </w:rPr>
        <w:t> </w:t>
      </w:r>
    </w:p>
    <w:p w14:paraId="2FF5C872" w14:textId="77777777" w:rsidR="008B50AB" w:rsidRPr="006340BE" w:rsidRDefault="00862ED4" w:rsidP="00F74968">
      <w:pPr>
        <w:spacing w:before="120" w:after="0" w:line="240" w:lineRule="auto"/>
        <w:jc w:val="both"/>
        <w:rPr>
          <w:rFonts w:ascii="Times New Roman" w:hAnsi="Times New Roman" w:cs="Times New Roman"/>
          <w:color w:val="000000" w:themeColor="text1"/>
          <w:sz w:val="24"/>
          <w:szCs w:val="24"/>
          <w:u w:val="single"/>
        </w:rPr>
      </w:pPr>
      <w:r w:rsidRPr="006340BE">
        <w:rPr>
          <w:rFonts w:ascii="Times New Roman" w:hAnsi="Times New Roman" w:cs="Times New Roman"/>
          <w:color w:val="000000" w:themeColor="text1"/>
          <w:sz w:val="24"/>
          <w:szCs w:val="24"/>
          <w:u w:val="single"/>
        </w:rPr>
        <w:t xml:space="preserve">Nourishing </w:t>
      </w:r>
      <w:r w:rsidR="004E0C0E" w:rsidRPr="006340BE">
        <w:rPr>
          <w:rFonts w:ascii="Times New Roman" w:hAnsi="Times New Roman"/>
          <w:color w:val="000000" w:themeColor="text1"/>
          <w:sz w:val="24"/>
          <w:u w:val="single"/>
        </w:rPr>
        <w:t>talent</w:t>
      </w:r>
      <w:r w:rsidR="00B3621D" w:rsidRPr="006340BE">
        <w:rPr>
          <w:rFonts w:ascii="Times New Roman" w:hAnsi="Times New Roman"/>
          <w:color w:val="000000" w:themeColor="text1"/>
          <w:sz w:val="24"/>
          <w:u w:val="single"/>
        </w:rPr>
        <w:t xml:space="preserve"> for excellence</w:t>
      </w:r>
      <w:r w:rsidR="004E0C0E" w:rsidRPr="006340BE">
        <w:rPr>
          <w:rFonts w:ascii="Times New Roman" w:hAnsi="Times New Roman"/>
          <w:color w:val="000000" w:themeColor="text1"/>
          <w:sz w:val="24"/>
          <w:u w:val="single"/>
        </w:rPr>
        <w:t xml:space="preserve"> </w:t>
      </w:r>
    </w:p>
    <w:p w14:paraId="03178666" w14:textId="760C370A" w:rsidR="00F17B80" w:rsidRPr="006340BE" w:rsidRDefault="00F17B80"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Attracting</w:t>
      </w:r>
      <w:r w:rsidR="00BB655F" w:rsidRPr="006340BE">
        <w:rPr>
          <w:rFonts w:ascii="Times New Roman" w:hAnsi="Times New Roman" w:cs="Times New Roman"/>
          <w:color w:val="000000" w:themeColor="text1"/>
          <w:sz w:val="24"/>
          <w:szCs w:val="24"/>
        </w:rPr>
        <w:t xml:space="preserve"> and retaining </w:t>
      </w:r>
      <w:r w:rsidRPr="006340BE">
        <w:rPr>
          <w:rFonts w:ascii="Times New Roman" w:hAnsi="Times New Roman" w:cs="Times New Roman"/>
          <w:color w:val="000000" w:themeColor="text1"/>
          <w:sz w:val="24"/>
          <w:szCs w:val="24"/>
        </w:rPr>
        <w:t>talented researchers</w:t>
      </w:r>
      <w:r w:rsidR="00787699" w:rsidRPr="006340BE">
        <w:rPr>
          <w:rFonts w:ascii="Times New Roman" w:hAnsi="Times New Roman" w:cs="Times New Roman"/>
          <w:color w:val="000000" w:themeColor="text1"/>
          <w:sz w:val="24"/>
          <w:szCs w:val="24"/>
        </w:rPr>
        <w:t xml:space="preserve"> </w:t>
      </w:r>
      <w:r w:rsidRPr="006340BE">
        <w:rPr>
          <w:rFonts w:ascii="Times New Roman" w:hAnsi="Times New Roman" w:cs="Times New Roman"/>
          <w:color w:val="000000" w:themeColor="text1"/>
          <w:sz w:val="24"/>
          <w:szCs w:val="24"/>
        </w:rPr>
        <w:t>remains key for knowledge diffusion</w:t>
      </w:r>
      <w:r w:rsidR="009D2899" w:rsidRPr="006340BE">
        <w:rPr>
          <w:rFonts w:ascii="Times New Roman" w:hAnsi="Times New Roman" w:cs="Times New Roman"/>
          <w:color w:val="000000" w:themeColor="text1"/>
          <w:sz w:val="24"/>
          <w:szCs w:val="24"/>
        </w:rPr>
        <w:t xml:space="preserve"> across the EU</w:t>
      </w:r>
      <w:r w:rsidRPr="006340BE">
        <w:rPr>
          <w:rFonts w:ascii="Times New Roman" w:hAnsi="Times New Roman" w:cs="Times New Roman"/>
          <w:color w:val="000000" w:themeColor="text1"/>
          <w:sz w:val="24"/>
          <w:szCs w:val="24"/>
        </w:rPr>
        <w:t xml:space="preserve">. In general, countries with a higher R&amp;I performance have a greater </w:t>
      </w:r>
      <w:r w:rsidR="000A4188" w:rsidRPr="006340BE">
        <w:rPr>
          <w:rFonts w:ascii="Times New Roman" w:hAnsi="Times New Roman" w:cs="Times New Roman"/>
          <w:color w:val="000000" w:themeColor="text1"/>
          <w:sz w:val="24"/>
          <w:szCs w:val="24"/>
        </w:rPr>
        <w:t>in</w:t>
      </w:r>
      <w:r w:rsidRPr="006340BE">
        <w:rPr>
          <w:rFonts w:ascii="Times New Roman" w:hAnsi="Times New Roman" w:cs="Times New Roman"/>
          <w:color w:val="000000" w:themeColor="text1"/>
          <w:sz w:val="24"/>
          <w:szCs w:val="24"/>
        </w:rPr>
        <w:t xml:space="preserve">flow of researchers. </w:t>
      </w:r>
      <w:r w:rsidR="00121CFB" w:rsidRPr="006340BE">
        <w:rPr>
          <w:rFonts w:ascii="Times New Roman" w:hAnsi="Times New Roman" w:cs="Times New Roman"/>
          <w:color w:val="000000" w:themeColor="text1"/>
          <w:sz w:val="24"/>
          <w:szCs w:val="24"/>
        </w:rPr>
        <w:t>It becomes imperative to ensure that all researchers in the EU, regardless of their geographical location, can produce and have access to excellent results.</w:t>
      </w:r>
    </w:p>
    <w:p w14:paraId="5F41E11B" w14:textId="2F138CBA" w:rsidR="00CE06AA" w:rsidRPr="006340BE" w:rsidRDefault="00CE06AA" w:rsidP="00CE06AA">
      <w:pPr>
        <w:spacing w:before="120" w:after="0" w:line="240" w:lineRule="auto"/>
        <w:jc w:val="both"/>
        <w:rPr>
          <w:rFonts w:ascii="Times New Roman" w:hAnsi="Times New Roman" w:cs="Times New Roman"/>
          <w:color w:val="000000" w:themeColor="text1"/>
          <w:sz w:val="24"/>
          <w:szCs w:val="24"/>
        </w:rPr>
      </w:pPr>
      <w:r w:rsidRPr="007A78F6">
        <w:rPr>
          <w:rFonts w:ascii="Times New Roman" w:hAnsi="Times New Roman" w:cs="Times New Roman"/>
          <w:color w:val="000000" w:themeColor="text1"/>
          <w:sz w:val="24"/>
          <w:szCs w:val="24"/>
          <w:highlight w:val="yellow"/>
        </w:rPr>
        <w:t>The</w:t>
      </w:r>
      <w:r w:rsidRPr="007A78F6">
        <w:rPr>
          <w:rFonts w:ascii="Times New Roman" w:hAnsi="Times New Roman" w:cs="Times New Roman"/>
          <w:i/>
          <w:iCs/>
          <w:color w:val="000000" w:themeColor="text1"/>
          <w:sz w:val="24"/>
          <w:szCs w:val="24"/>
          <w:highlight w:val="yellow"/>
        </w:rPr>
        <w:t xml:space="preserve"> ERA4You</w:t>
      </w:r>
      <w:r w:rsidRPr="007A78F6">
        <w:rPr>
          <w:rFonts w:ascii="Times New Roman" w:hAnsi="Times New Roman" w:cs="Times New Roman"/>
          <w:color w:val="000000" w:themeColor="text1"/>
          <w:sz w:val="24"/>
          <w:szCs w:val="24"/>
          <w:highlight w:val="yellow"/>
        </w:rPr>
        <w:t xml:space="preserve"> initiative</w:t>
      </w:r>
      <w:r w:rsidRPr="006340BE">
        <w:rPr>
          <w:rFonts w:ascii="Times New Roman" w:hAnsi="Times New Roman" w:cs="Times New Roman"/>
          <w:color w:val="000000" w:themeColor="text1"/>
          <w:sz w:val="24"/>
          <w:szCs w:val="24"/>
        </w:rPr>
        <w:t xml:space="preserve"> will be launched to deepen the European Research Area by strengthening the mobility opportunities for researchers </w:t>
      </w:r>
      <w:r w:rsidR="00121CFB" w:rsidRPr="006340BE">
        <w:rPr>
          <w:rFonts w:ascii="Times New Roman" w:hAnsi="Times New Roman" w:cs="Times New Roman"/>
          <w:color w:val="000000" w:themeColor="text1"/>
          <w:sz w:val="24"/>
          <w:szCs w:val="24"/>
        </w:rPr>
        <w:t>to access excellence and expand their experience through dedicated mobility schemes between industry and academia.</w:t>
      </w:r>
      <w:r w:rsidRPr="006340BE">
        <w:rPr>
          <w:rFonts w:ascii="Times New Roman" w:hAnsi="Times New Roman" w:cs="Times New Roman"/>
          <w:color w:val="000000" w:themeColor="text1"/>
          <w:sz w:val="24"/>
          <w:szCs w:val="24"/>
        </w:rPr>
        <w:t xml:space="preserve"> It will include, targeted mobility measures to support researchers in Member States with low R&amp;I performance to learn and develop excellence</w:t>
      </w:r>
      <w:r w:rsidR="00121CFB" w:rsidRPr="006340BE">
        <w:rPr>
          <w:rFonts w:ascii="Times New Roman" w:hAnsi="Times New Roman" w:cs="Times New Roman"/>
          <w:color w:val="000000" w:themeColor="text1"/>
          <w:sz w:val="24"/>
          <w:szCs w:val="24"/>
        </w:rPr>
        <w:t>, in order to broaden the talent capacity</w:t>
      </w:r>
      <w:r w:rsidRPr="006340BE">
        <w:rPr>
          <w:rFonts w:ascii="Times New Roman" w:hAnsi="Times New Roman" w:cs="Times New Roman"/>
          <w:color w:val="000000" w:themeColor="text1"/>
          <w:sz w:val="24"/>
          <w:szCs w:val="24"/>
        </w:rPr>
        <w:t>.</w:t>
      </w:r>
    </w:p>
    <w:p w14:paraId="60A13A83" w14:textId="6BE3B86C" w:rsidR="00787699" w:rsidRPr="0006704B" w:rsidRDefault="00AA36D8"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The initiative</w:t>
      </w:r>
      <w:r w:rsidR="00917F6A" w:rsidRPr="006340BE">
        <w:rPr>
          <w:rFonts w:ascii="Times New Roman" w:hAnsi="Times New Roman" w:cs="Times New Roman"/>
          <w:color w:val="000000" w:themeColor="text1"/>
          <w:sz w:val="24"/>
          <w:szCs w:val="24"/>
        </w:rPr>
        <w:t xml:space="preserve"> will</w:t>
      </w:r>
      <w:r w:rsidRPr="006340BE">
        <w:rPr>
          <w:rFonts w:ascii="Times New Roman" w:hAnsi="Times New Roman" w:cs="Times New Roman"/>
          <w:color w:val="000000" w:themeColor="text1"/>
          <w:sz w:val="24"/>
          <w:szCs w:val="24"/>
        </w:rPr>
        <w:t xml:space="preserve"> </w:t>
      </w:r>
      <w:r w:rsidR="00F17B80" w:rsidRPr="006340BE">
        <w:rPr>
          <w:rFonts w:ascii="Times New Roman" w:hAnsi="Times New Roman" w:cs="Times New Roman"/>
          <w:color w:val="000000" w:themeColor="text1"/>
          <w:sz w:val="24"/>
          <w:szCs w:val="24"/>
        </w:rPr>
        <w:t xml:space="preserve">monitor </w:t>
      </w:r>
      <w:r w:rsidRPr="006340BE">
        <w:rPr>
          <w:rFonts w:ascii="Times New Roman" w:hAnsi="Times New Roman" w:cs="Times New Roman"/>
          <w:color w:val="000000" w:themeColor="text1"/>
          <w:sz w:val="24"/>
          <w:szCs w:val="24"/>
        </w:rPr>
        <w:t xml:space="preserve">indicators of </w:t>
      </w:r>
      <w:r w:rsidR="00F17B80" w:rsidRPr="006340BE">
        <w:rPr>
          <w:rFonts w:ascii="Times New Roman" w:hAnsi="Times New Roman" w:cs="Times New Roman"/>
          <w:color w:val="000000" w:themeColor="text1"/>
          <w:sz w:val="24"/>
          <w:szCs w:val="24"/>
        </w:rPr>
        <w:t xml:space="preserve">access to excellence of researchers and </w:t>
      </w:r>
      <w:r w:rsidR="00917F6A" w:rsidRPr="006340BE">
        <w:rPr>
          <w:rFonts w:ascii="Times New Roman" w:hAnsi="Times New Roman" w:cs="Times New Roman"/>
          <w:color w:val="000000" w:themeColor="text1"/>
          <w:sz w:val="24"/>
          <w:szCs w:val="24"/>
        </w:rPr>
        <w:t>institutions to</w:t>
      </w:r>
      <w:r w:rsidR="00F17B80" w:rsidRPr="006340BE">
        <w:rPr>
          <w:rFonts w:ascii="Times New Roman" w:hAnsi="Times New Roman" w:cs="Times New Roman"/>
          <w:color w:val="000000" w:themeColor="text1"/>
          <w:sz w:val="24"/>
          <w:szCs w:val="24"/>
        </w:rPr>
        <w:t xml:space="preserve"> </w:t>
      </w:r>
      <w:r w:rsidRPr="006340BE">
        <w:rPr>
          <w:rFonts w:ascii="Times New Roman" w:hAnsi="Times New Roman" w:cs="Times New Roman"/>
          <w:color w:val="000000" w:themeColor="text1"/>
          <w:sz w:val="24"/>
          <w:szCs w:val="24"/>
        </w:rPr>
        <w:t xml:space="preserve">improve the </w:t>
      </w:r>
      <w:r w:rsidR="00F17B80" w:rsidRPr="006340BE">
        <w:rPr>
          <w:rFonts w:ascii="Times New Roman" w:hAnsi="Times New Roman" w:cs="Times New Roman"/>
          <w:color w:val="000000" w:themeColor="text1"/>
          <w:sz w:val="24"/>
          <w:szCs w:val="24"/>
        </w:rPr>
        <w:t>understanding</w:t>
      </w:r>
      <w:r w:rsidRPr="006340BE">
        <w:rPr>
          <w:rFonts w:ascii="Times New Roman" w:hAnsi="Times New Roman" w:cs="Times New Roman"/>
          <w:color w:val="000000" w:themeColor="text1"/>
          <w:sz w:val="24"/>
          <w:szCs w:val="24"/>
        </w:rPr>
        <w:t xml:space="preserve"> of</w:t>
      </w:r>
      <w:r w:rsidR="00F17B80" w:rsidRPr="006340BE">
        <w:rPr>
          <w:rFonts w:ascii="Times New Roman" w:hAnsi="Times New Roman" w:cs="Times New Roman"/>
          <w:color w:val="000000" w:themeColor="text1"/>
          <w:sz w:val="24"/>
          <w:szCs w:val="24"/>
        </w:rPr>
        <w:t xml:space="preserve"> obstacles and </w:t>
      </w:r>
      <w:r w:rsidR="00917F6A" w:rsidRPr="006340BE">
        <w:rPr>
          <w:rFonts w:ascii="Times New Roman" w:hAnsi="Times New Roman" w:cs="Times New Roman"/>
          <w:color w:val="000000" w:themeColor="text1"/>
          <w:sz w:val="24"/>
          <w:szCs w:val="24"/>
        </w:rPr>
        <w:t xml:space="preserve">support relevant </w:t>
      </w:r>
      <w:r w:rsidR="00F17B80" w:rsidRPr="006340BE">
        <w:rPr>
          <w:rFonts w:ascii="Times New Roman" w:hAnsi="Times New Roman" w:cs="Times New Roman"/>
          <w:color w:val="000000" w:themeColor="text1"/>
          <w:sz w:val="24"/>
          <w:szCs w:val="24"/>
        </w:rPr>
        <w:t>polic</w:t>
      </w:r>
      <w:r w:rsidR="00917F6A" w:rsidRPr="006340BE">
        <w:rPr>
          <w:rFonts w:ascii="Times New Roman" w:hAnsi="Times New Roman" w:cs="Times New Roman"/>
          <w:color w:val="000000" w:themeColor="text1"/>
          <w:sz w:val="24"/>
          <w:szCs w:val="24"/>
        </w:rPr>
        <w:t>y</w:t>
      </w:r>
      <w:r w:rsidR="00F17B80" w:rsidRPr="006340BE">
        <w:rPr>
          <w:rFonts w:ascii="Times New Roman" w:hAnsi="Times New Roman" w:cs="Times New Roman"/>
          <w:color w:val="000000" w:themeColor="text1"/>
          <w:sz w:val="24"/>
          <w:szCs w:val="24"/>
        </w:rPr>
        <w:t xml:space="preserve"> measures. It will </w:t>
      </w:r>
      <w:r w:rsidR="00917F6A" w:rsidRPr="006340BE">
        <w:rPr>
          <w:rFonts w:ascii="Times New Roman" w:hAnsi="Times New Roman" w:cs="Times New Roman"/>
          <w:color w:val="000000" w:themeColor="text1"/>
          <w:sz w:val="24"/>
          <w:szCs w:val="24"/>
        </w:rPr>
        <w:t xml:space="preserve">also foster </w:t>
      </w:r>
      <w:r w:rsidR="00F17B80" w:rsidRPr="006340BE">
        <w:rPr>
          <w:rFonts w:ascii="Times New Roman" w:hAnsi="Times New Roman" w:cs="Times New Roman"/>
          <w:color w:val="000000" w:themeColor="text1"/>
          <w:sz w:val="24"/>
          <w:szCs w:val="24"/>
        </w:rPr>
        <w:t xml:space="preserve">a </w:t>
      </w:r>
      <w:r w:rsidR="00F17B80" w:rsidRPr="0006704B">
        <w:rPr>
          <w:rFonts w:ascii="Times New Roman" w:hAnsi="Times New Roman" w:cs="Times New Roman"/>
          <w:color w:val="000000" w:themeColor="text1"/>
          <w:sz w:val="24"/>
          <w:szCs w:val="24"/>
        </w:rPr>
        <w:t>structured collaboration between academia and businesses, and across disciplines and</w:t>
      </w:r>
      <w:r w:rsidRPr="0006704B">
        <w:rPr>
          <w:rFonts w:ascii="Times New Roman" w:hAnsi="Times New Roman" w:cs="Times New Roman"/>
          <w:color w:val="000000" w:themeColor="text1"/>
          <w:sz w:val="24"/>
          <w:szCs w:val="24"/>
        </w:rPr>
        <w:t xml:space="preserve"> </w:t>
      </w:r>
      <w:r w:rsidR="00F17B80" w:rsidRPr="0006704B">
        <w:rPr>
          <w:rFonts w:ascii="Times New Roman" w:hAnsi="Times New Roman" w:cs="Times New Roman"/>
          <w:color w:val="000000" w:themeColor="text1"/>
          <w:sz w:val="24"/>
          <w:szCs w:val="24"/>
        </w:rPr>
        <w:t>border</w:t>
      </w:r>
      <w:r w:rsidRPr="0006704B">
        <w:rPr>
          <w:rFonts w:ascii="Times New Roman" w:hAnsi="Times New Roman" w:cs="Times New Roman"/>
          <w:color w:val="000000" w:themeColor="text1"/>
          <w:sz w:val="24"/>
          <w:szCs w:val="24"/>
        </w:rPr>
        <w:t>s,</w:t>
      </w:r>
      <w:r w:rsidR="00F17B80" w:rsidRPr="0006704B">
        <w:rPr>
          <w:rFonts w:ascii="Times New Roman" w:hAnsi="Times New Roman" w:cs="Times New Roman"/>
          <w:color w:val="000000" w:themeColor="text1"/>
          <w:sz w:val="24"/>
          <w:szCs w:val="24"/>
        </w:rPr>
        <w:t xml:space="preserve"> taking into account the internal market.</w:t>
      </w:r>
      <w:r w:rsidR="00787699" w:rsidRPr="0006704B">
        <w:rPr>
          <w:rFonts w:ascii="Times New Roman" w:hAnsi="Times New Roman" w:cs="Times New Roman"/>
          <w:color w:val="000000" w:themeColor="text1"/>
          <w:sz w:val="24"/>
          <w:szCs w:val="24"/>
        </w:rPr>
        <w:t xml:space="preserve"> Enabling framework conditions for this initiative will be </w:t>
      </w:r>
      <w:r w:rsidRPr="0006704B">
        <w:rPr>
          <w:rFonts w:ascii="Times New Roman" w:hAnsi="Times New Roman" w:cs="Times New Roman"/>
          <w:color w:val="000000" w:themeColor="text1"/>
          <w:sz w:val="24"/>
          <w:szCs w:val="24"/>
        </w:rPr>
        <w:t>complemented in a wider context</w:t>
      </w:r>
      <w:r w:rsidR="00787699" w:rsidRPr="0006704B">
        <w:rPr>
          <w:rFonts w:ascii="Times New Roman" w:hAnsi="Times New Roman" w:cs="Times New Roman"/>
          <w:color w:val="000000" w:themeColor="text1"/>
          <w:sz w:val="24"/>
          <w:szCs w:val="24"/>
        </w:rPr>
        <w:t xml:space="preserve"> by measures proposed</w:t>
      </w:r>
      <w:r w:rsidRPr="0006704B">
        <w:rPr>
          <w:rFonts w:ascii="Times New Roman" w:hAnsi="Times New Roman" w:cs="Times New Roman"/>
          <w:color w:val="000000" w:themeColor="text1"/>
          <w:sz w:val="24"/>
          <w:szCs w:val="24"/>
        </w:rPr>
        <w:t xml:space="preserve"> under the action on </w:t>
      </w:r>
      <w:r w:rsidR="00787699" w:rsidRPr="0006704B">
        <w:rPr>
          <w:rFonts w:ascii="Times New Roman" w:hAnsi="Times New Roman" w:cs="Times New Roman"/>
          <w:color w:val="000000" w:themeColor="text1"/>
          <w:sz w:val="24"/>
          <w:szCs w:val="24"/>
        </w:rPr>
        <w:t>European Framework for Research Careers</w:t>
      </w:r>
      <w:r w:rsidR="00426471" w:rsidRPr="0006704B">
        <w:rPr>
          <w:rFonts w:ascii="Times New Roman" w:hAnsi="Times New Roman" w:cs="Times New Roman"/>
          <w:color w:val="000000" w:themeColor="text1"/>
          <w:sz w:val="24"/>
          <w:szCs w:val="24"/>
        </w:rPr>
        <w:t xml:space="preserve"> (see section 2.4 below)</w:t>
      </w:r>
      <w:r w:rsidR="00787699" w:rsidRPr="0006704B">
        <w:rPr>
          <w:rFonts w:ascii="Times New Roman" w:hAnsi="Times New Roman" w:cs="Times New Roman"/>
          <w:color w:val="000000" w:themeColor="text1"/>
          <w:sz w:val="24"/>
          <w:szCs w:val="24"/>
        </w:rPr>
        <w:t>.</w:t>
      </w:r>
    </w:p>
    <w:p w14:paraId="244E9141" w14:textId="1A26E905" w:rsidR="00B074FE" w:rsidRPr="00754C9D" w:rsidRDefault="00B074FE" w:rsidP="00522167">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bCs/>
          <w:color w:val="000000" w:themeColor="text1"/>
          <w:sz w:val="24"/>
          <w:szCs w:val="24"/>
          <w:highlight w:val="yellow"/>
        </w:rPr>
      </w:pPr>
      <w:r w:rsidRPr="00754C9D">
        <w:rPr>
          <w:rFonts w:ascii="Times New Roman" w:hAnsi="Times New Roman" w:cs="Times New Roman"/>
          <w:bCs/>
          <w:color w:val="000000" w:themeColor="text1"/>
          <w:sz w:val="24"/>
          <w:szCs w:val="24"/>
          <w:highlight w:val="yellow"/>
        </w:rPr>
        <w:t xml:space="preserve">The Commission </w:t>
      </w:r>
      <w:r w:rsidR="00121CFB" w:rsidRPr="00754C9D">
        <w:rPr>
          <w:rFonts w:ascii="Times New Roman" w:hAnsi="Times New Roman" w:cs="Times New Roman"/>
          <w:bCs/>
          <w:color w:val="000000" w:themeColor="text1"/>
          <w:sz w:val="24"/>
          <w:szCs w:val="24"/>
          <w:highlight w:val="yellow"/>
        </w:rPr>
        <w:t>proposes to</w:t>
      </w:r>
      <w:r w:rsidRPr="00754C9D">
        <w:rPr>
          <w:rFonts w:ascii="Times New Roman" w:hAnsi="Times New Roman" w:cs="Times New Roman"/>
          <w:bCs/>
          <w:color w:val="000000" w:themeColor="text1"/>
          <w:sz w:val="24"/>
          <w:szCs w:val="24"/>
          <w:highlight w:val="yellow"/>
        </w:rPr>
        <w:t>:</w:t>
      </w:r>
    </w:p>
    <w:p w14:paraId="75272009" w14:textId="1C0A877A" w:rsidR="003A03DB" w:rsidRPr="00754C9D" w:rsidRDefault="008F1E6D" w:rsidP="00703C11">
      <w:pPr>
        <w:pStyle w:val="ListParagraph"/>
        <w:keepNext/>
        <w:keepLines/>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bCs/>
          <w:color w:val="000000" w:themeColor="text1"/>
          <w:sz w:val="24"/>
          <w:szCs w:val="24"/>
          <w:highlight w:val="yellow"/>
        </w:rPr>
      </w:pPr>
      <w:r w:rsidRPr="00754C9D">
        <w:rPr>
          <w:rFonts w:ascii="Times New Roman" w:hAnsi="Times New Roman" w:cs="Times New Roman"/>
          <w:bCs/>
          <w:color w:val="000000" w:themeColor="text1"/>
          <w:sz w:val="24"/>
          <w:szCs w:val="24"/>
          <w:highlight w:val="yellow"/>
        </w:rPr>
        <w:t xml:space="preserve">Institute </w:t>
      </w:r>
      <w:r w:rsidR="00121CFB" w:rsidRPr="00754C9D">
        <w:rPr>
          <w:rFonts w:ascii="Times New Roman" w:hAnsi="Times New Roman" w:cs="Times New Roman"/>
          <w:bCs/>
          <w:color w:val="000000" w:themeColor="text1"/>
          <w:sz w:val="24"/>
          <w:szCs w:val="24"/>
          <w:highlight w:val="yellow"/>
        </w:rPr>
        <w:t xml:space="preserve">a dedicated work stream in the ERA Forum for </w:t>
      </w:r>
      <w:proofErr w:type="gramStart"/>
      <w:r w:rsidR="00121CFB" w:rsidRPr="00754C9D">
        <w:rPr>
          <w:rFonts w:ascii="Times New Roman" w:hAnsi="Times New Roman" w:cs="Times New Roman"/>
          <w:bCs/>
          <w:color w:val="000000" w:themeColor="text1"/>
          <w:sz w:val="24"/>
          <w:szCs w:val="24"/>
          <w:highlight w:val="yellow"/>
        </w:rPr>
        <w:t xml:space="preserve">Transition </w:t>
      </w:r>
      <w:r w:rsidR="007F2AFC" w:rsidRPr="00754C9D">
        <w:rPr>
          <w:rFonts w:ascii="Times New Roman" w:hAnsi="Times New Roman" w:cs="Times New Roman"/>
          <w:bCs/>
          <w:color w:val="000000" w:themeColor="text1"/>
          <w:sz w:val="24"/>
          <w:szCs w:val="24"/>
          <w:highlight w:val="yellow"/>
        </w:rPr>
        <w:t xml:space="preserve"> </w:t>
      </w:r>
      <w:r w:rsidR="00224EFE" w:rsidRPr="00754C9D">
        <w:rPr>
          <w:rFonts w:ascii="Times New Roman" w:hAnsi="Times New Roman" w:cs="Times New Roman"/>
          <w:bCs/>
          <w:color w:val="000000" w:themeColor="text1"/>
          <w:sz w:val="24"/>
          <w:szCs w:val="24"/>
          <w:highlight w:val="yellow"/>
        </w:rPr>
        <w:t>(</w:t>
      </w:r>
      <w:proofErr w:type="spellStart"/>
      <w:proofErr w:type="gramEnd"/>
      <w:r w:rsidR="00224EFE" w:rsidRPr="00754C9D">
        <w:rPr>
          <w:rFonts w:ascii="Times New Roman" w:hAnsi="Times New Roman" w:cs="Times New Roman"/>
          <w:bCs/>
          <w:color w:val="000000" w:themeColor="text1"/>
          <w:sz w:val="24"/>
          <w:szCs w:val="24"/>
          <w:highlight w:val="yellow"/>
        </w:rPr>
        <w:t>i</w:t>
      </w:r>
      <w:proofErr w:type="spellEnd"/>
      <w:r w:rsidR="00224EFE" w:rsidRPr="00754C9D">
        <w:rPr>
          <w:rFonts w:ascii="Times New Roman" w:hAnsi="Times New Roman" w:cs="Times New Roman"/>
          <w:bCs/>
          <w:color w:val="000000" w:themeColor="text1"/>
          <w:sz w:val="24"/>
          <w:szCs w:val="24"/>
          <w:highlight w:val="yellow"/>
        </w:rPr>
        <w:t xml:space="preserve">) </w:t>
      </w:r>
      <w:r w:rsidR="007F2AFC" w:rsidRPr="00754C9D">
        <w:rPr>
          <w:rFonts w:ascii="Times New Roman" w:hAnsi="Times New Roman" w:cs="Times New Roman"/>
          <w:bCs/>
          <w:color w:val="000000" w:themeColor="text1"/>
          <w:sz w:val="24"/>
          <w:szCs w:val="24"/>
          <w:highlight w:val="yellow"/>
        </w:rPr>
        <w:t xml:space="preserve">to </w:t>
      </w:r>
      <w:r w:rsidR="00F17B80" w:rsidRPr="00754C9D">
        <w:rPr>
          <w:rFonts w:ascii="Times New Roman" w:hAnsi="Times New Roman" w:cs="Times New Roman"/>
          <w:bCs/>
          <w:color w:val="000000" w:themeColor="text1"/>
          <w:sz w:val="24"/>
          <w:szCs w:val="24"/>
          <w:highlight w:val="yellow"/>
        </w:rPr>
        <w:t xml:space="preserve">promote and </w:t>
      </w:r>
      <w:r w:rsidR="003A03DB" w:rsidRPr="00754C9D">
        <w:rPr>
          <w:rFonts w:ascii="Times New Roman" w:hAnsi="Times New Roman" w:cs="Times New Roman"/>
          <w:bCs/>
          <w:color w:val="000000" w:themeColor="text1"/>
          <w:sz w:val="24"/>
          <w:szCs w:val="24"/>
          <w:highlight w:val="yellow"/>
        </w:rPr>
        <w:t xml:space="preserve">monitor access to excellence of researchers and </w:t>
      </w:r>
      <w:r w:rsidR="00EA08FA" w:rsidRPr="00754C9D">
        <w:rPr>
          <w:rFonts w:ascii="Times New Roman" w:hAnsi="Times New Roman" w:cs="Times New Roman"/>
          <w:bCs/>
          <w:color w:val="000000" w:themeColor="text1"/>
          <w:sz w:val="24"/>
          <w:szCs w:val="24"/>
          <w:highlight w:val="yellow"/>
        </w:rPr>
        <w:t>institutions</w:t>
      </w:r>
      <w:r w:rsidR="003A03DB" w:rsidRPr="00754C9D">
        <w:rPr>
          <w:rFonts w:ascii="Times New Roman" w:hAnsi="Times New Roman" w:cs="Times New Roman"/>
          <w:bCs/>
          <w:color w:val="000000" w:themeColor="text1"/>
          <w:sz w:val="24"/>
          <w:szCs w:val="24"/>
          <w:highlight w:val="yellow"/>
        </w:rPr>
        <w:t xml:space="preserve"> from Widening Countries</w:t>
      </w:r>
      <w:r w:rsidR="00EA08FA" w:rsidRPr="00754C9D">
        <w:rPr>
          <w:rFonts w:ascii="Times New Roman" w:hAnsi="Times New Roman" w:cs="Times New Roman"/>
          <w:bCs/>
          <w:color w:val="000000" w:themeColor="text1"/>
          <w:sz w:val="24"/>
          <w:szCs w:val="24"/>
          <w:highlight w:val="yellow"/>
        </w:rPr>
        <w:t xml:space="preserve">, with Cohesion Policy support, </w:t>
      </w:r>
      <w:r w:rsidR="00224EFE" w:rsidRPr="00754C9D">
        <w:rPr>
          <w:rFonts w:ascii="Times New Roman" w:hAnsi="Times New Roman" w:cs="Times New Roman"/>
          <w:bCs/>
          <w:color w:val="000000" w:themeColor="text1"/>
          <w:sz w:val="24"/>
          <w:szCs w:val="24"/>
          <w:highlight w:val="yellow"/>
        </w:rPr>
        <w:t xml:space="preserve">(ii) </w:t>
      </w:r>
      <w:r w:rsidR="00132BBE" w:rsidRPr="00754C9D">
        <w:rPr>
          <w:rFonts w:ascii="Times New Roman" w:hAnsi="Times New Roman" w:cs="Times New Roman"/>
          <w:bCs/>
          <w:color w:val="000000" w:themeColor="text1"/>
          <w:sz w:val="24"/>
          <w:szCs w:val="24"/>
          <w:highlight w:val="yellow"/>
        </w:rPr>
        <w:t xml:space="preserve">to </w:t>
      </w:r>
      <w:r w:rsidR="00121CFB" w:rsidRPr="00754C9D">
        <w:rPr>
          <w:rFonts w:ascii="Times New Roman" w:hAnsi="Times New Roman" w:cs="Times New Roman"/>
          <w:bCs/>
          <w:color w:val="000000" w:themeColor="text1"/>
          <w:sz w:val="24"/>
          <w:szCs w:val="24"/>
          <w:highlight w:val="yellow"/>
        </w:rPr>
        <w:t xml:space="preserve">support Member States to </w:t>
      </w:r>
      <w:r w:rsidR="00EA08FA" w:rsidRPr="00754C9D">
        <w:rPr>
          <w:rFonts w:ascii="Times New Roman" w:hAnsi="Times New Roman" w:cs="Times New Roman"/>
          <w:bCs/>
          <w:color w:val="000000" w:themeColor="text1"/>
          <w:sz w:val="24"/>
          <w:szCs w:val="24"/>
          <w:highlight w:val="yellow"/>
        </w:rPr>
        <w:t>better integrate researchers in smart specialisation strategies</w:t>
      </w:r>
      <w:r w:rsidR="00F17B80" w:rsidRPr="00754C9D">
        <w:rPr>
          <w:rFonts w:ascii="Times New Roman" w:hAnsi="Times New Roman" w:cs="Times New Roman"/>
          <w:bCs/>
          <w:color w:val="000000" w:themeColor="text1"/>
          <w:sz w:val="24"/>
          <w:szCs w:val="24"/>
          <w:highlight w:val="yellow"/>
        </w:rPr>
        <w:t xml:space="preserve"> in cooperation with industry,</w:t>
      </w:r>
      <w:r w:rsidR="00EA08FA" w:rsidRPr="00754C9D">
        <w:rPr>
          <w:rFonts w:ascii="Times New Roman" w:hAnsi="Times New Roman" w:cs="Times New Roman"/>
          <w:bCs/>
          <w:color w:val="000000" w:themeColor="text1"/>
          <w:sz w:val="24"/>
          <w:szCs w:val="24"/>
          <w:highlight w:val="yellow"/>
        </w:rPr>
        <w:t xml:space="preserve"> and </w:t>
      </w:r>
      <w:r w:rsidR="00224EFE" w:rsidRPr="00754C9D">
        <w:rPr>
          <w:rFonts w:ascii="Times New Roman" w:hAnsi="Times New Roman" w:cs="Times New Roman"/>
          <w:bCs/>
          <w:color w:val="000000" w:themeColor="text1"/>
          <w:sz w:val="24"/>
          <w:szCs w:val="24"/>
          <w:highlight w:val="yellow"/>
        </w:rPr>
        <w:t xml:space="preserve">(iii) </w:t>
      </w:r>
      <w:r w:rsidR="00121CFB" w:rsidRPr="00754C9D">
        <w:rPr>
          <w:rFonts w:ascii="Times New Roman" w:hAnsi="Times New Roman" w:cs="Times New Roman"/>
          <w:bCs/>
          <w:color w:val="000000" w:themeColor="text1"/>
          <w:sz w:val="24"/>
          <w:szCs w:val="24"/>
          <w:highlight w:val="yellow"/>
        </w:rPr>
        <w:t xml:space="preserve">help them </w:t>
      </w:r>
      <w:r w:rsidR="00EA08FA" w:rsidRPr="00754C9D">
        <w:rPr>
          <w:rFonts w:ascii="Times New Roman" w:hAnsi="Times New Roman" w:cs="Times New Roman"/>
          <w:bCs/>
          <w:color w:val="000000" w:themeColor="text1"/>
          <w:sz w:val="24"/>
          <w:szCs w:val="24"/>
          <w:highlight w:val="yellow"/>
        </w:rPr>
        <w:t xml:space="preserve">design measures to support </w:t>
      </w:r>
      <w:r w:rsidR="00121CFB" w:rsidRPr="00754C9D">
        <w:rPr>
          <w:rFonts w:ascii="Times New Roman" w:hAnsi="Times New Roman" w:cs="Times New Roman"/>
          <w:bCs/>
          <w:color w:val="000000" w:themeColor="text1"/>
          <w:sz w:val="24"/>
          <w:szCs w:val="24"/>
          <w:highlight w:val="yellow"/>
        </w:rPr>
        <w:t xml:space="preserve">researchers in Widening Countries </w:t>
      </w:r>
      <w:r w:rsidR="00EA08FA" w:rsidRPr="00754C9D">
        <w:rPr>
          <w:rFonts w:ascii="Times New Roman" w:hAnsi="Times New Roman" w:cs="Times New Roman"/>
          <w:bCs/>
          <w:color w:val="000000" w:themeColor="text1"/>
          <w:sz w:val="24"/>
          <w:szCs w:val="24"/>
          <w:highlight w:val="yellow"/>
        </w:rPr>
        <w:t>to improve their skills for excellence</w:t>
      </w:r>
      <w:r w:rsidR="00F17B80" w:rsidRPr="00754C9D">
        <w:rPr>
          <w:rFonts w:ascii="Times New Roman" w:hAnsi="Times New Roman" w:cs="Times New Roman"/>
          <w:bCs/>
          <w:color w:val="000000" w:themeColor="text1"/>
          <w:sz w:val="24"/>
          <w:szCs w:val="24"/>
          <w:highlight w:val="yellow"/>
        </w:rPr>
        <w:t xml:space="preserve"> in the labour market</w:t>
      </w:r>
      <w:r w:rsidR="003A03DB" w:rsidRPr="00754C9D">
        <w:rPr>
          <w:rFonts w:ascii="Times New Roman" w:hAnsi="Times New Roman" w:cs="Times New Roman"/>
          <w:bCs/>
          <w:color w:val="000000" w:themeColor="text1"/>
          <w:sz w:val="24"/>
          <w:szCs w:val="24"/>
          <w:highlight w:val="yellow"/>
        </w:rPr>
        <w:t>.</w:t>
      </w:r>
      <w:r w:rsidR="00121CFB" w:rsidRPr="00754C9D">
        <w:rPr>
          <w:rFonts w:ascii="Times New Roman" w:hAnsi="Times New Roman" w:cs="Times New Roman"/>
          <w:bCs/>
          <w:color w:val="000000" w:themeColor="text1"/>
          <w:sz w:val="24"/>
          <w:szCs w:val="24"/>
          <w:highlight w:val="yellow"/>
        </w:rPr>
        <w:t xml:space="preserve"> </w:t>
      </w:r>
      <w:r w:rsidR="006340BE" w:rsidRPr="00754C9D">
        <w:rPr>
          <w:rFonts w:ascii="Times New Roman" w:hAnsi="Times New Roman" w:cs="Times New Roman"/>
          <w:bCs/>
          <w:color w:val="000000" w:themeColor="text1"/>
          <w:sz w:val="24"/>
          <w:szCs w:val="24"/>
          <w:highlight w:val="yellow"/>
        </w:rPr>
        <w:t xml:space="preserve">This should support low R&amp;I performing countries to increase the excellence of their R&amp;I systems. Member States lagging behind the EU average on </w:t>
      </w:r>
      <w:r w:rsidR="001B3F05" w:rsidRPr="00754C9D">
        <w:rPr>
          <w:rFonts w:ascii="Times New Roman" w:hAnsi="Times New Roman" w:cs="Times New Roman"/>
          <w:bCs/>
          <w:color w:val="000000" w:themeColor="text1"/>
          <w:sz w:val="24"/>
          <w:szCs w:val="24"/>
          <w:highlight w:val="yellow"/>
        </w:rPr>
        <w:t>highly cited publications</w:t>
      </w:r>
      <w:r w:rsidR="006340BE" w:rsidRPr="00754C9D">
        <w:rPr>
          <w:rFonts w:ascii="Times New Roman" w:hAnsi="Times New Roman" w:cs="Times New Roman"/>
          <w:bCs/>
          <w:color w:val="000000" w:themeColor="text1"/>
          <w:sz w:val="24"/>
          <w:szCs w:val="24"/>
          <w:highlight w:val="yellow"/>
        </w:rPr>
        <w:t xml:space="preserve"> should reduce the gap to the EU average by at least one third in the next 5 years</w:t>
      </w:r>
      <w:r w:rsidR="006653BE" w:rsidRPr="00754C9D">
        <w:rPr>
          <w:rFonts w:ascii="Times New Roman" w:hAnsi="Times New Roman" w:cs="Times New Roman"/>
          <w:bCs/>
          <w:color w:val="000000" w:themeColor="text1"/>
          <w:sz w:val="24"/>
          <w:szCs w:val="24"/>
          <w:highlight w:val="yellow"/>
        </w:rPr>
        <w:t>.</w:t>
      </w:r>
    </w:p>
    <w:p w14:paraId="7904E6A9" w14:textId="77777777" w:rsidR="003D7685" w:rsidRPr="006340BE" w:rsidRDefault="00E3755A" w:rsidP="000E2C91">
      <w:pPr>
        <w:pStyle w:val="ListParagraph"/>
        <w:numPr>
          <w:ilvl w:val="1"/>
          <w:numId w:val="1"/>
        </w:numPr>
        <w:spacing w:before="240" w:after="0" w:line="240" w:lineRule="auto"/>
        <w:ind w:left="357" w:hanging="357"/>
        <w:contextualSpacing w:val="0"/>
        <w:jc w:val="both"/>
        <w:rPr>
          <w:rFonts w:ascii="Times New Roman" w:hAnsi="Times New Roman" w:cs="Times New Roman"/>
          <w:b/>
          <w:color w:val="000000" w:themeColor="text1"/>
          <w:sz w:val="24"/>
          <w:szCs w:val="24"/>
          <w:u w:val="single"/>
        </w:rPr>
      </w:pPr>
      <w:r w:rsidRPr="006340BE">
        <w:rPr>
          <w:rFonts w:ascii="Times New Roman" w:hAnsi="Times New Roman" w:cs="Times New Roman"/>
          <w:b/>
          <w:color w:val="000000" w:themeColor="text1"/>
          <w:sz w:val="24"/>
          <w:szCs w:val="24"/>
          <w:u w:val="single"/>
        </w:rPr>
        <w:t>Translating R&amp;I results into the economy</w:t>
      </w:r>
    </w:p>
    <w:p w14:paraId="4C11E917" w14:textId="77777777" w:rsidR="00E3755A" w:rsidRPr="006340BE" w:rsidRDefault="00324874" w:rsidP="00F74968">
      <w:pPr>
        <w:spacing w:before="120" w:after="0" w:line="240" w:lineRule="auto"/>
        <w:jc w:val="both"/>
        <w:rPr>
          <w:rFonts w:ascii="Times New Roman" w:hAnsi="Times New Roman" w:cs="Times New Roman"/>
          <w:b/>
          <w:color w:val="000000" w:themeColor="text1"/>
          <w:sz w:val="24"/>
          <w:szCs w:val="24"/>
        </w:rPr>
      </w:pPr>
      <w:r w:rsidRPr="006340BE">
        <w:rPr>
          <w:rFonts w:ascii="Times New Roman" w:hAnsi="Times New Roman" w:cs="Times New Roman"/>
          <w:color w:val="000000" w:themeColor="text1"/>
          <w:sz w:val="24"/>
          <w:szCs w:val="24"/>
          <w:u w:val="single"/>
        </w:rPr>
        <w:t>Competitiveness of European industry</w:t>
      </w:r>
    </w:p>
    <w:p w14:paraId="6627EF65" w14:textId="5334E8EF" w:rsidR="00993E77" w:rsidRPr="006340BE" w:rsidRDefault="007D0E33"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olor w:val="000000" w:themeColor="text1"/>
          <w:sz w:val="24"/>
          <w:szCs w:val="24"/>
        </w:rPr>
        <w:t>T</w:t>
      </w:r>
      <w:r w:rsidR="00420DE6" w:rsidRPr="006340BE">
        <w:rPr>
          <w:rFonts w:ascii="Times New Roman" w:hAnsi="Times New Roman" w:cs="Times New Roman"/>
          <w:color w:val="000000" w:themeColor="text1"/>
          <w:sz w:val="24"/>
          <w:szCs w:val="24"/>
        </w:rPr>
        <w:t xml:space="preserve">he EU </w:t>
      </w:r>
      <w:r w:rsidRPr="006340BE">
        <w:rPr>
          <w:rFonts w:ascii="Times New Roman" w:hAnsi="Times New Roman" w:cs="Times New Roman"/>
          <w:color w:val="000000" w:themeColor="text1"/>
          <w:sz w:val="24"/>
          <w:szCs w:val="24"/>
        </w:rPr>
        <w:t xml:space="preserve">is </w:t>
      </w:r>
      <w:r w:rsidR="00420DE6" w:rsidRPr="006340BE">
        <w:rPr>
          <w:rFonts w:ascii="Times New Roman" w:hAnsi="Times New Roman" w:cs="Times New Roman"/>
          <w:color w:val="000000" w:themeColor="text1"/>
          <w:sz w:val="24"/>
          <w:szCs w:val="24"/>
        </w:rPr>
        <w:t>lag</w:t>
      </w:r>
      <w:r w:rsidRPr="006340BE">
        <w:rPr>
          <w:rFonts w:ascii="Times New Roman" w:hAnsi="Times New Roman" w:cs="Times New Roman"/>
          <w:color w:val="000000" w:themeColor="text1"/>
          <w:sz w:val="24"/>
          <w:szCs w:val="24"/>
        </w:rPr>
        <w:t>ging</w:t>
      </w:r>
      <w:r w:rsidR="00420DE6" w:rsidRPr="006340BE">
        <w:rPr>
          <w:rFonts w:ascii="Times New Roman" w:hAnsi="Times New Roman" w:cs="Times New Roman"/>
          <w:color w:val="000000" w:themeColor="text1"/>
          <w:sz w:val="24"/>
          <w:szCs w:val="24"/>
        </w:rPr>
        <w:t xml:space="preserve"> behind its main </w:t>
      </w:r>
      <w:r w:rsidR="00733D0B" w:rsidRPr="006340BE">
        <w:rPr>
          <w:rFonts w:ascii="Times New Roman" w:hAnsi="Times New Roman" w:cs="Times New Roman"/>
          <w:color w:val="000000" w:themeColor="text1"/>
          <w:sz w:val="24"/>
          <w:szCs w:val="24"/>
        </w:rPr>
        <w:t xml:space="preserve">global </w:t>
      </w:r>
      <w:r w:rsidR="00420DE6" w:rsidRPr="006340BE">
        <w:rPr>
          <w:rFonts w:ascii="Times New Roman" w:hAnsi="Times New Roman" w:cs="Times New Roman"/>
          <w:color w:val="000000" w:themeColor="text1"/>
          <w:sz w:val="24"/>
          <w:szCs w:val="24"/>
        </w:rPr>
        <w:t xml:space="preserve">competitors in business </w:t>
      </w:r>
      <w:r w:rsidR="00DE0040" w:rsidRPr="006340BE">
        <w:rPr>
          <w:rFonts w:ascii="Times New Roman" w:hAnsi="Times New Roman" w:cs="Times New Roman"/>
          <w:color w:val="000000" w:themeColor="text1"/>
          <w:sz w:val="24"/>
          <w:szCs w:val="24"/>
        </w:rPr>
        <w:t>R&amp;</w:t>
      </w:r>
      <w:r w:rsidR="001B0E39" w:rsidRPr="006340BE">
        <w:rPr>
          <w:rFonts w:ascii="Times New Roman" w:hAnsi="Times New Roman" w:cs="Times New Roman"/>
          <w:color w:val="000000" w:themeColor="text1"/>
          <w:sz w:val="24"/>
          <w:szCs w:val="24"/>
        </w:rPr>
        <w:t xml:space="preserve">D </w:t>
      </w:r>
      <w:r w:rsidR="00420DE6" w:rsidRPr="006340BE">
        <w:rPr>
          <w:rFonts w:ascii="Times New Roman" w:hAnsi="Times New Roman" w:cs="Times New Roman"/>
          <w:color w:val="000000" w:themeColor="text1"/>
          <w:sz w:val="24"/>
          <w:szCs w:val="24"/>
        </w:rPr>
        <w:t>intensity</w:t>
      </w:r>
      <w:r w:rsidR="00420DE6" w:rsidRPr="006340BE">
        <w:rPr>
          <w:rStyle w:val="FootnoteReference"/>
          <w:rFonts w:ascii="Times New Roman" w:hAnsi="Times New Roman" w:cs="Times New Roman"/>
          <w:color w:val="000000" w:themeColor="text1"/>
          <w:sz w:val="24"/>
          <w:szCs w:val="24"/>
        </w:rPr>
        <w:footnoteReference w:id="38"/>
      </w:r>
      <w:r w:rsidR="00420DE6" w:rsidRPr="006340BE">
        <w:rPr>
          <w:rFonts w:ascii="Times New Roman" w:hAnsi="Times New Roman" w:cs="Times New Roman"/>
          <w:color w:val="000000" w:themeColor="text1"/>
          <w:sz w:val="24"/>
          <w:szCs w:val="24"/>
        </w:rPr>
        <w:t>, in particular in high</w:t>
      </w:r>
      <w:r w:rsidR="00733D0B" w:rsidRPr="006340BE">
        <w:rPr>
          <w:rFonts w:ascii="Times New Roman" w:hAnsi="Times New Roman" w:cs="Times New Roman"/>
          <w:color w:val="000000" w:themeColor="text1"/>
          <w:sz w:val="24"/>
          <w:szCs w:val="24"/>
        </w:rPr>
        <w:t>-</w:t>
      </w:r>
      <w:r w:rsidR="00420DE6" w:rsidRPr="006340BE">
        <w:rPr>
          <w:rFonts w:ascii="Times New Roman" w:hAnsi="Times New Roman" w:cs="Times New Roman"/>
          <w:color w:val="000000" w:themeColor="text1"/>
          <w:sz w:val="24"/>
          <w:szCs w:val="24"/>
        </w:rPr>
        <w:t>tech sectors, and in scaling-up innovative SMEs</w:t>
      </w:r>
      <w:r w:rsidRPr="006340BE">
        <w:rPr>
          <w:rStyle w:val="FootnoteReference"/>
          <w:rFonts w:ascii="Times New Roman" w:hAnsi="Times New Roman" w:cs="Times New Roman"/>
          <w:color w:val="000000" w:themeColor="text1"/>
          <w:sz w:val="24"/>
          <w:szCs w:val="24"/>
        </w:rPr>
        <w:footnoteReference w:id="39"/>
      </w:r>
      <w:r w:rsidRPr="006340BE">
        <w:rPr>
          <w:rFonts w:ascii="Times New Roman" w:hAnsi="Times New Roman" w:cs="Times New Roman"/>
          <w:color w:val="000000" w:themeColor="text1"/>
          <w:sz w:val="24"/>
          <w:szCs w:val="24"/>
        </w:rPr>
        <w:t xml:space="preserve"> with negative effects on </w:t>
      </w:r>
      <w:r w:rsidRPr="006340BE">
        <w:rPr>
          <w:rFonts w:ascii="Times New Roman" w:hAnsi="Times New Roman"/>
          <w:color w:val="000000" w:themeColor="text1"/>
          <w:sz w:val="24"/>
          <w:szCs w:val="24"/>
        </w:rPr>
        <w:t>productivity and competitiveness.</w:t>
      </w:r>
      <w:r w:rsidR="000F7050" w:rsidRPr="006340BE">
        <w:rPr>
          <w:rFonts w:ascii="Times New Roman" w:hAnsi="Times New Roman"/>
          <w:color w:val="000000" w:themeColor="text1"/>
          <w:sz w:val="24"/>
          <w:szCs w:val="24"/>
        </w:rPr>
        <w:t xml:space="preserve"> This is happening at time</w:t>
      </w:r>
      <w:r w:rsidR="00B85337" w:rsidRPr="006340BE">
        <w:rPr>
          <w:rFonts w:ascii="Times New Roman" w:hAnsi="Times New Roman"/>
          <w:color w:val="000000" w:themeColor="text1"/>
          <w:sz w:val="24"/>
          <w:szCs w:val="24"/>
        </w:rPr>
        <w:t>s</w:t>
      </w:r>
      <w:r w:rsidR="000F7050" w:rsidRPr="006340BE">
        <w:rPr>
          <w:rFonts w:ascii="Times New Roman" w:hAnsi="Times New Roman"/>
          <w:color w:val="000000" w:themeColor="text1"/>
          <w:sz w:val="24"/>
          <w:szCs w:val="24"/>
        </w:rPr>
        <w:t xml:space="preserve"> when entire sectors </w:t>
      </w:r>
      <w:r w:rsidR="00B85337" w:rsidRPr="006340BE">
        <w:rPr>
          <w:rFonts w:ascii="Times New Roman" w:hAnsi="Times New Roman"/>
          <w:color w:val="000000" w:themeColor="text1"/>
          <w:sz w:val="24"/>
          <w:szCs w:val="24"/>
        </w:rPr>
        <w:t>will undergo</w:t>
      </w:r>
      <w:r w:rsidR="000F7050" w:rsidRPr="006340BE">
        <w:rPr>
          <w:rFonts w:ascii="Times New Roman" w:hAnsi="Times New Roman"/>
          <w:color w:val="000000" w:themeColor="text1"/>
          <w:sz w:val="24"/>
          <w:szCs w:val="24"/>
        </w:rPr>
        <w:t xml:space="preserve"> the twin transition</w:t>
      </w:r>
      <w:r w:rsidR="00856B9A" w:rsidRPr="006340BE">
        <w:rPr>
          <w:rFonts w:ascii="Times New Roman" w:hAnsi="Times New Roman"/>
          <w:color w:val="000000" w:themeColor="text1"/>
          <w:sz w:val="24"/>
          <w:szCs w:val="24"/>
        </w:rPr>
        <w:t xml:space="preserve"> and when </w:t>
      </w:r>
      <w:r w:rsidR="000F7050" w:rsidRPr="006340BE">
        <w:rPr>
          <w:rFonts w:ascii="Times New Roman" w:hAnsi="Times New Roman"/>
          <w:color w:val="000000" w:themeColor="text1"/>
          <w:sz w:val="24"/>
          <w:szCs w:val="24"/>
        </w:rPr>
        <w:t xml:space="preserve">industrial leadership </w:t>
      </w:r>
      <w:r w:rsidR="00B85337" w:rsidRPr="006340BE">
        <w:rPr>
          <w:rFonts w:ascii="Times New Roman" w:hAnsi="Times New Roman"/>
          <w:color w:val="000000" w:themeColor="text1"/>
          <w:sz w:val="24"/>
          <w:szCs w:val="24"/>
        </w:rPr>
        <w:t xml:space="preserve">will </w:t>
      </w:r>
      <w:r w:rsidR="000F7050" w:rsidRPr="006340BE">
        <w:rPr>
          <w:rFonts w:ascii="Times New Roman" w:hAnsi="Times New Roman"/>
          <w:color w:val="000000" w:themeColor="text1"/>
          <w:sz w:val="24"/>
          <w:szCs w:val="24"/>
        </w:rPr>
        <w:t>rel</w:t>
      </w:r>
      <w:r w:rsidR="00B85337" w:rsidRPr="006340BE">
        <w:rPr>
          <w:rFonts w:ascii="Times New Roman" w:hAnsi="Times New Roman"/>
          <w:color w:val="000000" w:themeColor="text1"/>
          <w:sz w:val="24"/>
          <w:szCs w:val="24"/>
        </w:rPr>
        <w:t>y more</w:t>
      </w:r>
      <w:r w:rsidR="000F7050" w:rsidRPr="006340BE">
        <w:rPr>
          <w:rFonts w:ascii="Times New Roman" w:hAnsi="Times New Roman"/>
          <w:color w:val="000000" w:themeColor="text1"/>
          <w:sz w:val="24"/>
          <w:szCs w:val="24"/>
        </w:rPr>
        <w:t xml:space="preserve"> </w:t>
      </w:r>
      <w:r w:rsidR="00856B9A" w:rsidRPr="006340BE">
        <w:rPr>
          <w:rFonts w:ascii="Times New Roman" w:hAnsi="Times New Roman"/>
          <w:color w:val="000000" w:themeColor="text1"/>
          <w:sz w:val="24"/>
          <w:szCs w:val="24"/>
        </w:rPr>
        <w:t xml:space="preserve">than before </w:t>
      </w:r>
      <w:r w:rsidR="000F7050" w:rsidRPr="006340BE">
        <w:rPr>
          <w:rFonts w:ascii="Times New Roman" w:hAnsi="Times New Roman"/>
          <w:color w:val="000000" w:themeColor="text1"/>
          <w:sz w:val="24"/>
          <w:szCs w:val="24"/>
        </w:rPr>
        <w:t xml:space="preserve">on pushing </w:t>
      </w:r>
      <w:r w:rsidR="00B85337" w:rsidRPr="006340BE">
        <w:rPr>
          <w:rFonts w:ascii="Times New Roman" w:hAnsi="Times New Roman"/>
          <w:color w:val="000000" w:themeColor="text1"/>
          <w:sz w:val="24"/>
          <w:szCs w:val="24"/>
        </w:rPr>
        <w:t xml:space="preserve">further </w:t>
      </w:r>
      <w:r w:rsidR="000F7050" w:rsidRPr="006340BE">
        <w:rPr>
          <w:rFonts w:ascii="Times New Roman" w:hAnsi="Times New Roman"/>
          <w:color w:val="000000" w:themeColor="text1"/>
          <w:sz w:val="24"/>
          <w:szCs w:val="24"/>
        </w:rPr>
        <w:t xml:space="preserve">the </w:t>
      </w:r>
      <w:r w:rsidR="000F7050" w:rsidRPr="006340BE">
        <w:rPr>
          <w:rFonts w:ascii="Times New Roman" w:hAnsi="Times New Roman"/>
          <w:color w:val="000000" w:themeColor="text1"/>
          <w:sz w:val="24"/>
          <w:szCs w:val="24"/>
        </w:rPr>
        <w:lastRenderedPageBreak/>
        <w:t>frontiers of science, mastering deep technologies, and combining digital, physical and biological innovations. Unlocking investment in innovation</w:t>
      </w:r>
      <w:r w:rsidR="002511DD">
        <w:rPr>
          <w:rFonts w:ascii="Times New Roman" w:hAnsi="Times New Roman"/>
          <w:color w:val="000000" w:themeColor="text1"/>
          <w:sz w:val="24"/>
          <w:szCs w:val="24"/>
        </w:rPr>
        <w:t xml:space="preserve"> </w:t>
      </w:r>
      <w:r w:rsidR="002511DD" w:rsidRPr="00E64EEB">
        <w:rPr>
          <w:rFonts w:ascii="Times New Roman" w:hAnsi="Times New Roman"/>
          <w:color w:val="000000" w:themeColor="text1"/>
          <w:sz w:val="24"/>
          <w:szCs w:val="24"/>
        </w:rPr>
        <w:t>in business, services as well as in the public sector</w:t>
      </w:r>
      <w:r w:rsidR="000F7050" w:rsidRPr="006340BE">
        <w:rPr>
          <w:rFonts w:ascii="Times New Roman" w:hAnsi="Times New Roman"/>
          <w:color w:val="000000" w:themeColor="text1"/>
          <w:sz w:val="24"/>
          <w:szCs w:val="24"/>
        </w:rPr>
        <w:t xml:space="preserve"> is critical to reversing this trend, as well as to reinforce Europe’s industrial and technological </w:t>
      </w:r>
      <w:r w:rsidR="00856B9A" w:rsidRPr="006340BE">
        <w:rPr>
          <w:rFonts w:ascii="Times New Roman" w:hAnsi="Times New Roman"/>
          <w:color w:val="000000" w:themeColor="text1"/>
          <w:sz w:val="24"/>
          <w:szCs w:val="24"/>
        </w:rPr>
        <w:t>sovereignty.</w:t>
      </w:r>
    </w:p>
    <w:p w14:paraId="5317CFC5" w14:textId="6C845002" w:rsidR="000C427D" w:rsidRPr="006340BE" w:rsidRDefault="000C427D" w:rsidP="000C427D">
      <w:pPr>
        <w:spacing w:before="120" w:after="0" w:line="240" w:lineRule="auto"/>
        <w:jc w:val="both"/>
        <w:rPr>
          <w:rFonts w:ascii="Times New Roman" w:hAnsi="Times New Roman"/>
          <w:color w:val="000000" w:themeColor="text1"/>
          <w:sz w:val="24"/>
          <w:szCs w:val="24"/>
        </w:rPr>
      </w:pPr>
      <w:r w:rsidRPr="006340BE">
        <w:rPr>
          <w:rFonts w:ascii="Times New Roman" w:hAnsi="Times New Roman" w:cs="Times New Roman"/>
          <w:color w:val="000000" w:themeColor="text1"/>
          <w:sz w:val="24"/>
          <w:szCs w:val="24"/>
        </w:rPr>
        <w:t xml:space="preserve">The EU needs to make full use of its excellent research and innovation results to support the </w:t>
      </w:r>
      <w:r w:rsidRPr="006340BE">
        <w:rPr>
          <w:rFonts w:ascii="Times New Roman" w:hAnsi="Times New Roman"/>
          <w:color w:val="000000" w:themeColor="text1"/>
          <w:sz w:val="24"/>
        </w:rPr>
        <w:t xml:space="preserve">green and digital transition of EU economy. </w:t>
      </w:r>
    </w:p>
    <w:p w14:paraId="0CBBAB8D" w14:textId="390D7734" w:rsidR="000C427D" w:rsidRPr="006340BE" w:rsidRDefault="00856B9A" w:rsidP="00F74968">
      <w:pPr>
        <w:spacing w:before="120" w:after="0" w:line="240" w:lineRule="auto"/>
        <w:jc w:val="both"/>
        <w:rPr>
          <w:rFonts w:ascii="Times New Roman" w:hAnsi="Times New Roman"/>
          <w:color w:val="000000" w:themeColor="text1"/>
          <w:sz w:val="24"/>
          <w:szCs w:val="24"/>
        </w:rPr>
      </w:pPr>
      <w:r w:rsidRPr="006340BE">
        <w:rPr>
          <w:rFonts w:ascii="Times New Roman" w:hAnsi="Times New Roman" w:cs="Times New Roman"/>
          <w:color w:val="000000" w:themeColor="text1"/>
          <w:sz w:val="24"/>
          <w:szCs w:val="24"/>
        </w:rPr>
        <w:t xml:space="preserve">Europe needs a framework that is conducive to long-term ambitious investments from the EU budget, </w:t>
      </w:r>
      <w:r w:rsidR="00F63FCB" w:rsidRPr="006340BE">
        <w:rPr>
          <w:rFonts w:ascii="Times New Roman" w:hAnsi="Times New Roman" w:cs="Times New Roman"/>
          <w:color w:val="000000" w:themeColor="text1"/>
          <w:sz w:val="24"/>
          <w:szCs w:val="24"/>
        </w:rPr>
        <w:t>Member States</w:t>
      </w:r>
      <w:r w:rsidRPr="006340BE">
        <w:rPr>
          <w:rFonts w:ascii="Times New Roman" w:hAnsi="Times New Roman" w:cs="Times New Roman"/>
          <w:color w:val="000000" w:themeColor="text1"/>
          <w:sz w:val="24"/>
          <w:szCs w:val="24"/>
        </w:rPr>
        <w:t xml:space="preserve"> and</w:t>
      </w:r>
      <w:r w:rsidR="00F63FCB" w:rsidRPr="006340BE">
        <w:rPr>
          <w:rFonts w:ascii="Times New Roman" w:hAnsi="Times New Roman" w:cs="Times New Roman"/>
          <w:color w:val="000000" w:themeColor="text1"/>
          <w:sz w:val="24"/>
          <w:szCs w:val="24"/>
        </w:rPr>
        <w:t xml:space="preserve"> the private sector</w:t>
      </w:r>
      <w:r w:rsidRPr="006340BE">
        <w:rPr>
          <w:rFonts w:ascii="Times New Roman" w:hAnsi="Times New Roman" w:cs="Times New Roman"/>
          <w:color w:val="000000" w:themeColor="text1"/>
          <w:sz w:val="24"/>
          <w:szCs w:val="24"/>
        </w:rPr>
        <w:t xml:space="preserve">. Investments in research and innovation are often risky and require </w:t>
      </w:r>
      <w:r w:rsidR="007970A8" w:rsidRPr="006340BE">
        <w:rPr>
          <w:rFonts w:ascii="Times New Roman" w:hAnsi="Times New Roman" w:cs="Times New Roman"/>
          <w:color w:val="000000" w:themeColor="text1"/>
          <w:sz w:val="24"/>
          <w:szCs w:val="24"/>
        </w:rPr>
        <w:t>long-term</w:t>
      </w:r>
      <w:r w:rsidRPr="006340BE">
        <w:rPr>
          <w:rFonts w:ascii="Times New Roman" w:hAnsi="Times New Roman" w:cs="Times New Roman"/>
          <w:color w:val="000000" w:themeColor="text1"/>
          <w:sz w:val="24"/>
          <w:szCs w:val="24"/>
        </w:rPr>
        <w:t xml:space="preserve"> commitments. This may be even more challenging to ensure during crisis times. Horizon Europe partnerships between the EU and the private sector, as well as the Member States, provide the necessary framework to ensure that risk taking is catered for there where there is a market failure, and that private investment is leveraged. </w:t>
      </w:r>
      <w:r w:rsidR="00F63FCB" w:rsidRPr="006340BE">
        <w:rPr>
          <w:rFonts w:ascii="Times New Roman" w:hAnsi="Times New Roman" w:cs="Times New Roman"/>
          <w:color w:val="000000" w:themeColor="text1"/>
          <w:sz w:val="24"/>
          <w:szCs w:val="24"/>
        </w:rPr>
        <w:t xml:space="preserve"> </w:t>
      </w:r>
      <w:r w:rsidR="000C427D" w:rsidRPr="006340BE">
        <w:rPr>
          <w:rFonts w:ascii="Times New Roman" w:hAnsi="Times New Roman"/>
          <w:color w:val="000000" w:themeColor="text1"/>
          <w:sz w:val="24"/>
          <w:szCs w:val="24"/>
        </w:rPr>
        <w:t>In addition, t</w:t>
      </w:r>
      <w:r w:rsidR="00894246" w:rsidRPr="006340BE">
        <w:rPr>
          <w:rFonts w:ascii="Times New Roman" w:hAnsi="Times New Roman"/>
          <w:color w:val="000000" w:themeColor="text1"/>
          <w:sz w:val="24"/>
          <w:szCs w:val="24"/>
        </w:rPr>
        <w:t>he E</w:t>
      </w:r>
      <w:r w:rsidR="000C427D" w:rsidRPr="006340BE">
        <w:rPr>
          <w:rFonts w:ascii="Times New Roman" w:hAnsi="Times New Roman"/>
          <w:color w:val="000000" w:themeColor="text1"/>
          <w:sz w:val="24"/>
          <w:szCs w:val="24"/>
        </w:rPr>
        <w:t xml:space="preserve">uropean </w:t>
      </w:r>
      <w:r w:rsidR="00894246" w:rsidRPr="006340BE">
        <w:rPr>
          <w:rFonts w:ascii="Times New Roman" w:hAnsi="Times New Roman"/>
          <w:color w:val="000000" w:themeColor="text1"/>
          <w:sz w:val="24"/>
          <w:szCs w:val="24"/>
        </w:rPr>
        <w:t>I</w:t>
      </w:r>
      <w:r w:rsidR="000C427D" w:rsidRPr="006340BE">
        <w:rPr>
          <w:rFonts w:ascii="Times New Roman" w:hAnsi="Times New Roman"/>
          <w:color w:val="000000" w:themeColor="text1"/>
          <w:sz w:val="24"/>
          <w:szCs w:val="24"/>
        </w:rPr>
        <w:t xml:space="preserve">nnovation </w:t>
      </w:r>
      <w:r w:rsidR="00894246" w:rsidRPr="006340BE">
        <w:rPr>
          <w:rFonts w:ascii="Times New Roman" w:hAnsi="Times New Roman"/>
          <w:color w:val="000000" w:themeColor="text1"/>
          <w:sz w:val="24"/>
          <w:szCs w:val="24"/>
        </w:rPr>
        <w:t>C</w:t>
      </w:r>
      <w:r w:rsidR="000C427D" w:rsidRPr="006340BE">
        <w:rPr>
          <w:rFonts w:ascii="Times New Roman" w:hAnsi="Times New Roman"/>
          <w:color w:val="000000" w:themeColor="text1"/>
          <w:sz w:val="24"/>
          <w:szCs w:val="24"/>
        </w:rPr>
        <w:t>ouncil,</w:t>
      </w:r>
      <w:r w:rsidR="00894246" w:rsidRPr="006340BE">
        <w:rPr>
          <w:rFonts w:ascii="Times New Roman" w:hAnsi="Times New Roman"/>
          <w:color w:val="000000" w:themeColor="text1"/>
          <w:sz w:val="24"/>
          <w:szCs w:val="24"/>
        </w:rPr>
        <w:t xml:space="preserve"> complemented by </w:t>
      </w:r>
      <w:r w:rsidR="00FC1BC8" w:rsidRPr="006340BE">
        <w:rPr>
          <w:rFonts w:ascii="Times New Roman" w:hAnsi="Times New Roman"/>
          <w:color w:val="000000" w:themeColor="text1"/>
          <w:sz w:val="24"/>
          <w:szCs w:val="24"/>
        </w:rPr>
        <w:t>EU financial instruments</w:t>
      </w:r>
      <w:r w:rsidR="000C427D" w:rsidRPr="006340BE">
        <w:rPr>
          <w:rFonts w:ascii="Times New Roman" w:hAnsi="Times New Roman"/>
          <w:color w:val="000000" w:themeColor="text1"/>
          <w:sz w:val="24"/>
          <w:szCs w:val="24"/>
        </w:rPr>
        <w:t>,</w:t>
      </w:r>
      <w:r w:rsidR="00FC1BC8" w:rsidRPr="006340BE">
        <w:rPr>
          <w:rFonts w:ascii="Times New Roman" w:hAnsi="Times New Roman"/>
          <w:color w:val="000000" w:themeColor="text1"/>
          <w:sz w:val="24"/>
          <w:szCs w:val="24"/>
        </w:rPr>
        <w:t xml:space="preserve"> </w:t>
      </w:r>
      <w:r w:rsidR="007D0E33" w:rsidRPr="006340BE">
        <w:rPr>
          <w:rFonts w:ascii="Times New Roman" w:hAnsi="Times New Roman"/>
          <w:color w:val="000000" w:themeColor="text1"/>
          <w:sz w:val="24"/>
          <w:szCs w:val="24"/>
        </w:rPr>
        <w:t xml:space="preserve">will enhance access to debt and equity finance for high growth, R&amp;I driven SMEs, start-ups, and </w:t>
      </w:r>
      <w:r w:rsidR="004D217F" w:rsidRPr="006340BE">
        <w:rPr>
          <w:rFonts w:ascii="Times New Roman" w:hAnsi="Times New Roman"/>
          <w:color w:val="000000" w:themeColor="text1"/>
          <w:sz w:val="24"/>
          <w:szCs w:val="24"/>
        </w:rPr>
        <w:t xml:space="preserve">small </w:t>
      </w:r>
      <w:r w:rsidR="007D0E33" w:rsidRPr="006340BE">
        <w:rPr>
          <w:rFonts w:ascii="Times New Roman" w:hAnsi="Times New Roman"/>
          <w:color w:val="000000" w:themeColor="text1"/>
          <w:sz w:val="24"/>
          <w:szCs w:val="24"/>
        </w:rPr>
        <w:t xml:space="preserve">midcaps </w:t>
      </w:r>
      <w:r w:rsidR="0023161F" w:rsidRPr="006340BE">
        <w:rPr>
          <w:rFonts w:ascii="Times New Roman" w:hAnsi="Times New Roman" w:cs="Times New Roman"/>
          <w:bCs/>
          <w:color w:val="000000" w:themeColor="text1"/>
          <w:sz w:val="24"/>
          <w:szCs w:val="24"/>
        </w:rPr>
        <w:t xml:space="preserve">taking into account the EU </w:t>
      </w:r>
      <w:r w:rsidR="001C753E" w:rsidRPr="006340BE">
        <w:rPr>
          <w:rFonts w:ascii="Times New Roman" w:hAnsi="Times New Roman" w:cs="Times New Roman"/>
          <w:bCs/>
          <w:color w:val="000000" w:themeColor="text1"/>
          <w:sz w:val="24"/>
          <w:szCs w:val="24"/>
        </w:rPr>
        <w:t>t</w:t>
      </w:r>
      <w:r w:rsidR="0023161F" w:rsidRPr="006340BE">
        <w:rPr>
          <w:rFonts w:ascii="Times New Roman" w:hAnsi="Times New Roman" w:cs="Times New Roman"/>
          <w:bCs/>
          <w:color w:val="000000" w:themeColor="text1"/>
          <w:sz w:val="24"/>
          <w:szCs w:val="24"/>
        </w:rPr>
        <w:t>axonomy on sustainable finance</w:t>
      </w:r>
      <w:r w:rsidR="0023161F" w:rsidRPr="006340BE">
        <w:rPr>
          <w:rStyle w:val="FootnoteReference"/>
          <w:rFonts w:ascii="Times New Roman" w:hAnsi="Times New Roman" w:cs="Times New Roman"/>
          <w:bCs/>
          <w:color w:val="000000" w:themeColor="text1"/>
          <w:sz w:val="24"/>
          <w:szCs w:val="24"/>
        </w:rPr>
        <w:footnoteReference w:id="40"/>
      </w:r>
      <w:r w:rsidR="0023161F" w:rsidRPr="006340BE">
        <w:rPr>
          <w:rFonts w:ascii="Times New Roman" w:hAnsi="Times New Roman" w:cs="Times New Roman"/>
          <w:bCs/>
          <w:color w:val="000000" w:themeColor="text1"/>
          <w:sz w:val="24"/>
          <w:szCs w:val="24"/>
        </w:rPr>
        <w:t xml:space="preserve">. </w:t>
      </w:r>
      <w:r w:rsidR="007D2611" w:rsidRPr="006340BE">
        <w:rPr>
          <w:rFonts w:ascii="Times New Roman" w:hAnsi="Times New Roman" w:cs="Times New Roman"/>
          <w:bCs/>
          <w:color w:val="000000" w:themeColor="text1"/>
          <w:sz w:val="24"/>
          <w:szCs w:val="24"/>
        </w:rPr>
        <w:t xml:space="preserve">It </w:t>
      </w:r>
      <w:r w:rsidR="0023161F" w:rsidRPr="006340BE">
        <w:rPr>
          <w:rFonts w:ascii="Times New Roman" w:hAnsi="Times New Roman" w:cs="Times New Roman"/>
          <w:bCs/>
          <w:color w:val="000000" w:themeColor="text1"/>
          <w:sz w:val="24"/>
          <w:szCs w:val="24"/>
        </w:rPr>
        <w:t xml:space="preserve">will </w:t>
      </w:r>
      <w:r w:rsidR="007D0E33" w:rsidRPr="006340BE">
        <w:rPr>
          <w:rFonts w:ascii="Times New Roman" w:hAnsi="Times New Roman"/>
          <w:color w:val="000000" w:themeColor="text1"/>
          <w:sz w:val="24"/>
          <w:szCs w:val="24"/>
        </w:rPr>
        <w:t xml:space="preserve">support </w:t>
      </w:r>
      <w:r w:rsidR="0023161F" w:rsidRPr="006340BE">
        <w:rPr>
          <w:rFonts w:ascii="Times New Roman" w:hAnsi="Times New Roman"/>
          <w:color w:val="000000" w:themeColor="text1"/>
          <w:sz w:val="24"/>
          <w:szCs w:val="24"/>
        </w:rPr>
        <w:t xml:space="preserve">more </w:t>
      </w:r>
      <w:r w:rsidR="007D0E33" w:rsidRPr="006340BE">
        <w:rPr>
          <w:rFonts w:ascii="Times New Roman" w:hAnsi="Times New Roman"/>
          <w:color w:val="000000" w:themeColor="text1"/>
          <w:sz w:val="24"/>
          <w:szCs w:val="24"/>
        </w:rPr>
        <w:t>entrepreneurship</w:t>
      </w:r>
      <w:r w:rsidR="00FC1BC8" w:rsidRPr="006340BE">
        <w:rPr>
          <w:rFonts w:ascii="Times New Roman" w:hAnsi="Times New Roman"/>
          <w:color w:val="000000" w:themeColor="text1"/>
          <w:sz w:val="24"/>
          <w:szCs w:val="24"/>
        </w:rPr>
        <w:t xml:space="preserve"> across Member States, </w:t>
      </w:r>
      <w:r w:rsidR="000F7050" w:rsidRPr="006340BE">
        <w:rPr>
          <w:rFonts w:ascii="Times New Roman" w:hAnsi="Times New Roman"/>
          <w:color w:val="000000" w:themeColor="text1"/>
          <w:sz w:val="24"/>
          <w:szCs w:val="24"/>
        </w:rPr>
        <w:t xml:space="preserve">identify next generation technologies and accelerate their commercial application, thereby </w:t>
      </w:r>
      <w:r w:rsidR="00FC1BC8" w:rsidRPr="006340BE">
        <w:rPr>
          <w:rFonts w:ascii="Times New Roman" w:hAnsi="Times New Roman"/>
          <w:color w:val="000000" w:themeColor="text1"/>
          <w:sz w:val="24"/>
          <w:szCs w:val="24"/>
        </w:rPr>
        <w:t>strengthen</w:t>
      </w:r>
      <w:r w:rsidR="007D0E33" w:rsidRPr="006340BE">
        <w:rPr>
          <w:rFonts w:ascii="Times New Roman" w:hAnsi="Times New Roman"/>
          <w:color w:val="000000" w:themeColor="text1"/>
          <w:sz w:val="24"/>
          <w:szCs w:val="24"/>
        </w:rPr>
        <w:t xml:space="preserve">ing European </w:t>
      </w:r>
      <w:r w:rsidR="000F7050" w:rsidRPr="006340BE">
        <w:rPr>
          <w:rFonts w:ascii="Times New Roman" w:hAnsi="Times New Roman"/>
          <w:color w:val="000000" w:themeColor="text1"/>
          <w:sz w:val="24"/>
          <w:szCs w:val="24"/>
        </w:rPr>
        <w:t xml:space="preserve">industrial and technological presence in strategic parts of </w:t>
      </w:r>
      <w:r w:rsidR="007D0E33" w:rsidRPr="006340BE">
        <w:rPr>
          <w:rFonts w:ascii="Times New Roman" w:hAnsi="Times New Roman"/>
          <w:color w:val="000000" w:themeColor="text1"/>
          <w:sz w:val="24"/>
          <w:szCs w:val="24"/>
        </w:rPr>
        <w:t xml:space="preserve">key </w:t>
      </w:r>
      <w:r w:rsidR="00FC1BC8" w:rsidRPr="006340BE">
        <w:rPr>
          <w:rFonts w:ascii="Times New Roman" w:hAnsi="Times New Roman"/>
          <w:color w:val="000000" w:themeColor="text1"/>
          <w:sz w:val="24"/>
          <w:szCs w:val="24"/>
        </w:rPr>
        <w:t xml:space="preserve">value chains, </w:t>
      </w:r>
      <w:r w:rsidR="000F7050" w:rsidRPr="006340BE">
        <w:rPr>
          <w:rFonts w:ascii="Times New Roman" w:hAnsi="Times New Roman"/>
          <w:color w:val="000000" w:themeColor="text1"/>
          <w:sz w:val="24"/>
          <w:szCs w:val="24"/>
        </w:rPr>
        <w:t xml:space="preserve">and </w:t>
      </w:r>
      <w:r w:rsidR="007D0E33" w:rsidRPr="006340BE">
        <w:rPr>
          <w:rFonts w:ascii="Times New Roman" w:hAnsi="Times New Roman"/>
          <w:color w:val="000000" w:themeColor="text1"/>
          <w:sz w:val="24"/>
          <w:szCs w:val="24"/>
        </w:rPr>
        <w:t xml:space="preserve">fostering </w:t>
      </w:r>
      <w:r w:rsidR="00FC1BC8" w:rsidRPr="006340BE">
        <w:rPr>
          <w:rFonts w:ascii="Times New Roman" w:hAnsi="Times New Roman"/>
          <w:color w:val="000000" w:themeColor="text1"/>
          <w:sz w:val="24"/>
          <w:szCs w:val="24"/>
        </w:rPr>
        <w:t>technological</w:t>
      </w:r>
      <w:r w:rsidR="007D0E33" w:rsidRPr="006340BE">
        <w:rPr>
          <w:rFonts w:ascii="Times New Roman" w:hAnsi="Times New Roman"/>
          <w:color w:val="000000" w:themeColor="text1"/>
          <w:sz w:val="24"/>
          <w:szCs w:val="24"/>
        </w:rPr>
        <w:t xml:space="preserve"> choice and</w:t>
      </w:r>
      <w:r w:rsidR="00FC1BC8" w:rsidRPr="006340BE">
        <w:rPr>
          <w:rFonts w:ascii="Times New Roman" w:hAnsi="Times New Roman"/>
          <w:color w:val="000000" w:themeColor="text1"/>
          <w:sz w:val="24"/>
          <w:szCs w:val="24"/>
        </w:rPr>
        <w:t xml:space="preserve"> </w:t>
      </w:r>
      <w:r w:rsidR="000F7050" w:rsidRPr="006340BE">
        <w:rPr>
          <w:rFonts w:ascii="Times New Roman" w:hAnsi="Times New Roman"/>
          <w:color w:val="000000" w:themeColor="text1"/>
          <w:sz w:val="24"/>
          <w:szCs w:val="24"/>
        </w:rPr>
        <w:t>open strategic autonomy</w:t>
      </w:r>
      <w:r w:rsidR="007D0E33" w:rsidRPr="006340BE">
        <w:rPr>
          <w:rFonts w:ascii="Times New Roman" w:hAnsi="Times New Roman"/>
          <w:color w:val="000000" w:themeColor="text1"/>
          <w:sz w:val="24"/>
          <w:szCs w:val="24"/>
        </w:rPr>
        <w:t>.</w:t>
      </w:r>
      <w:r w:rsidR="00FC1BC8" w:rsidRPr="006340BE">
        <w:rPr>
          <w:rFonts w:ascii="Times New Roman" w:hAnsi="Times New Roman"/>
          <w:color w:val="000000" w:themeColor="text1"/>
          <w:sz w:val="24"/>
          <w:szCs w:val="24"/>
        </w:rPr>
        <w:t xml:space="preserve"> </w:t>
      </w:r>
      <w:r w:rsidR="007970A8">
        <w:rPr>
          <w:rFonts w:ascii="Times New Roman" w:hAnsi="Times New Roman"/>
          <w:color w:val="000000" w:themeColor="text1"/>
          <w:sz w:val="24"/>
          <w:szCs w:val="24"/>
        </w:rPr>
        <w:t xml:space="preserve">The </w:t>
      </w:r>
      <w:r w:rsidR="007970A8" w:rsidRPr="007970A8">
        <w:rPr>
          <w:rFonts w:ascii="Times New Roman" w:hAnsi="Times New Roman"/>
          <w:color w:val="000000" w:themeColor="text1"/>
          <w:sz w:val="24"/>
          <w:szCs w:val="24"/>
        </w:rPr>
        <w:t xml:space="preserve">European Institute of Innovation and Technology </w:t>
      </w:r>
      <w:r w:rsidR="007970A8">
        <w:rPr>
          <w:rFonts w:ascii="Times New Roman" w:hAnsi="Times New Roman"/>
          <w:color w:val="000000" w:themeColor="text1"/>
          <w:sz w:val="24"/>
          <w:szCs w:val="24"/>
        </w:rPr>
        <w:t xml:space="preserve">also has an important role to play. </w:t>
      </w:r>
      <w:r w:rsidR="004D217F" w:rsidRPr="006340BE">
        <w:rPr>
          <w:rFonts w:ascii="Times New Roman" w:hAnsi="Times New Roman"/>
          <w:color w:val="000000" w:themeColor="text1"/>
          <w:sz w:val="24"/>
        </w:rPr>
        <w:t>Where they exist, industrial alliances</w:t>
      </w:r>
      <w:r w:rsidR="004D217F" w:rsidRPr="006340BE">
        <w:rPr>
          <w:rStyle w:val="FootnoteReference"/>
          <w:rFonts w:ascii="Times New Roman" w:hAnsi="Times New Roman"/>
          <w:color w:val="000000" w:themeColor="text1"/>
          <w:sz w:val="24"/>
        </w:rPr>
        <w:footnoteReference w:id="41"/>
      </w:r>
      <w:r w:rsidR="004D217F" w:rsidRPr="006340BE">
        <w:rPr>
          <w:rFonts w:ascii="Times New Roman" w:hAnsi="Times New Roman"/>
          <w:color w:val="000000" w:themeColor="text1"/>
          <w:sz w:val="24"/>
        </w:rPr>
        <w:t xml:space="preserve"> should be inclusive to contribute to defining research agendas and to increasing the industrial impact of R&amp;D results. Member States can cooperate in case of market failure in Important Projects of Common European Interest (IPCEI)</w:t>
      </w:r>
      <w:r w:rsidR="004D217F" w:rsidRPr="006340BE">
        <w:rPr>
          <w:rStyle w:val="FootnoteReference"/>
          <w:rFonts w:ascii="Times New Roman" w:hAnsi="Times New Roman"/>
          <w:color w:val="000000" w:themeColor="text1"/>
          <w:sz w:val="24"/>
        </w:rPr>
        <w:footnoteReference w:id="42"/>
      </w:r>
      <w:r w:rsidR="004D217F" w:rsidRPr="006340BE">
        <w:rPr>
          <w:rFonts w:ascii="Times New Roman" w:hAnsi="Times New Roman"/>
          <w:color w:val="000000" w:themeColor="text1"/>
          <w:sz w:val="24"/>
        </w:rPr>
        <w:t>, to bring R&amp;D results towards industrial deployment</w:t>
      </w:r>
      <w:r w:rsidR="00F216FB">
        <w:rPr>
          <w:rFonts w:ascii="Times New Roman" w:hAnsi="Times New Roman"/>
          <w:color w:val="000000" w:themeColor="text1"/>
          <w:sz w:val="24"/>
        </w:rPr>
        <w:t xml:space="preserve"> for the benefit of</w:t>
      </w:r>
      <w:r w:rsidR="002511DD">
        <w:rPr>
          <w:rFonts w:ascii="Times New Roman" w:hAnsi="Times New Roman"/>
          <w:color w:val="000000" w:themeColor="text1"/>
          <w:sz w:val="24"/>
        </w:rPr>
        <w:t xml:space="preserve"> business and public sector</w:t>
      </w:r>
      <w:r w:rsidR="004D217F" w:rsidRPr="006340BE">
        <w:rPr>
          <w:rFonts w:ascii="Times New Roman" w:hAnsi="Times New Roman" w:cs="Times New Roman"/>
          <w:color w:val="000000" w:themeColor="text1"/>
        </w:rPr>
        <w:t>.</w:t>
      </w:r>
      <w:r w:rsidR="000C427D" w:rsidRPr="006340BE">
        <w:rPr>
          <w:rFonts w:ascii="Times New Roman" w:hAnsi="Times New Roman" w:cs="Times New Roman"/>
          <w:color w:val="000000" w:themeColor="text1"/>
        </w:rPr>
        <w:t xml:space="preserve"> </w:t>
      </w:r>
    </w:p>
    <w:p w14:paraId="4EDF9EAE" w14:textId="75901084" w:rsidR="001617E8" w:rsidRPr="006340BE" w:rsidRDefault="000C427D">
      <w:pPr>
        <w:autoSpaceDE w:val="0"/>
        <w:autoSpaceDN w:val="0"/>
        <w:spacing w:before="120" w:after="0" w:line="240" w:lineRule="auto"/>
        <w:jc w:val="both"/>
        <w:rPr>
          <w:rFonts w:ascii="Segoe UI" w:hAnsi="Segoe UI" w:cs="Segoe UI"/>
          <w:color w:val="000000" w:themeColor="text1"/>
          <w:sz w:val="20"/>
          <w:szCs w:val="20"/>
        </w:rPr>
      </w:pPr>
      <w:r w:rsidRPr="006340BE">
        <w:rPr>
          <w:rFonts w:ascii="Times New Roman" w:hAnsi="Times New Roman"/>
          <w:color w:val="000000" w:themeColor="text1"/>
          <w:sz w:val="24"/>
          <w:szCs w:val="24"/>
        </w:rPr>
        <w:t xml:space="preserve">To support the implementation of the </w:t>
      </w:r>
      <w:r w:rsidR="00FE423F" w:rsidRPr="006340BE">
        <w:rPr>
          <w:rFonts w:ascii="Times New Roman" w:hAnsi="Times New Roman"/>
          <w:color w:val="000000" w:themeColor="text1"/>
          <w:sz w:val="24"/>
          <w:szCs w:val="24"/>
        </w:rPr>
        <w:t xml:space="preserve">new </w:t>
      </w:r>
      <w:r w:rsidRPr="006340BE">
        <w:rPr>
          <w:rFonts w:ascii="Times New Roman" w:hAnsi="Times New Roman"/>
          <w:color w:val="000000" w:themeColor="text1"/>
          <w:sz w:val="24"/>
          <w:szCs w:val="24"/>
        </w:rPr>
        <w:t xml:space="preserve">Industrial Strategy and speed up the transfer of research results into the real economy, the Commission </w:t>
      </w:r>
      <w:r w:rsidR="00741B2F" w:rsidRPr="006340BE">
        <w:rPr>
          <w:rFonts w:ascii="Times New Roman" w:hAnsi="Times New Roman"/>
          <w:color w:val="000000" w:themeColor="text1"/>
          <w:sz w:val="24"/>
          <w:szCs w:val="24"/>
        </w:rPr>
        <w:t>will guide the development of c</w:t>
      </w:r>
      <w:r w:rsidR="0029510E" w:rsidRPr="006340BE">
        <w:rPr>
          <w:rFonts w:ascii="Times New Roman" w:hAnsi="Times New Roman"/>
          <w:color w:val="000000" w:themeColor="text1"/>
          <w:sz w:val="24"/>
          <w:szCs w:val="24"/>
        </w:rPr>
        <w:t xml:space="preserve">ommon </w:t>
      </w:r>
      <w:r w:rsidR="00741B2F" w:rsidRPr="006340BE">
        <w:rPr>
          <w:rFonts w:ascii="Times New Roman" w:hAnsi="Times New Roman"/>
          <w:color w:val="000000" w:themeColor="text1"/>
          <w:sz w:val="24"/>
          <w:szCs w:val="24"/>
        </w:rPr>
        <w:t xml:space="preserve">technology </w:t>
      </w:r>
      <w:r w:rsidR="0029510E" w:rsidRPr="006340BE">
        <w:rPr>
          <w:rFonts w:ascii="Times New Roman" w:hAnsi="Times New Roman"/>
          <w:color w:val="000000" w:themeColor="text1"/>
          <w:sz w:val="24"/>
          <w:szCs w:val="24"/>
        </w:rPr>
        <w:t>roadmaps</w:t>
      </w:r>
      <w:r w:rsidR="0017367C" w:rsidRPr="006340BE">
        <w:rPr>
          <w:rFonts w:ascii="Times New Roman" w:hAnsi="Times New Roman"/>
          <w:color w:val="000000" w:themeColor="text1"/>
          <w:sz w:val="24"/>
          <w:szCs w:val="24"/>
        </w:rPr>
        <w:t xml:space="preserve"> </w:t>
      </w:r>
      <w:r w:rsidR="0029510E" w:rsidRPr="006340BE">
        <w:rPr>
          <w:rFonts w:ascii="Times New Roman" w:hAnsi="Times New Roman"/>
          <w:color w:val="000000" w:themeColor="text1"/>
          <w:sz w:val="24"/>
          <w:szCs w:val="24"/>
        </w:rPr>
        <w:t>with industry</w:t>
      </w:r>
      <w:r w:rsidR="0017367C" w:rsidRPr="006340BE">
        <w:rPr>
          <w:rFonts w:ascii="Times New Roman" w:hAnsi="Times New Roman"/>
          <w:color w:val="000000" w:themeColor="text1"/>
          <w:sz w:val="24"/>
          <w:szCs w:val="24"/>
        </w:rPr>
        <w:t xml:space="preserve"> to</w:t>
      </w:r>
      <w:r w:rsidR="0029510E" w:rsidRPr="006340BE">
        <w:rPr>
          <w:rFonts w:ascii="Times New Roman" w:hAnsi="Times New Roman"/>
          <w:color w:val="000000" w:themeColor="text1"/>
          <w:sz w:val="24"/>
          <w:szCs w:val="24"/>
        </w:rPr>
        <w:t xml:space="preserve"> include </w:t>
      </w:r>
      <w:r w:rsidR="001617E8" w:rsidRPr="006340BE">
        <w:rPr>
          <w:rFonts w:ascii="Times New Roman" w:hAnsi="Times New Roman"/>
          <w:color w:val="000000" w:themeColor="text1"/>
          <w:sz w:val="24"/>
          <w:szCs w:val="24"/>
        </w:rPr>
        <w:t xml:space="preserve">R&amp;I </w:t>
      </w:r>
      <w:r w:rsidR="0029510E" w:rsidRPr="006340BE">
        <w:rPr>
          <w:rFonts w:ascii="Times New Roman" w:hAnsi="Times New Roman"/>
          <w:color w:val="000000" w:themeColor="text1"/>
          <w:sz w:val="24"/>
          <w:szCs w:val="24"/>
        </w:rPr>
        <w:t>investment agendas from</w:t>
      </w:r>
      <w:r w:rsidR="001C753E" w:rsidRPr="006340BE">
        <w:rPr>
          <w:rFonts w:ascii="Times New Roman" w:hAnsi="Times New Roman"/>
          <w:color w:val="000000" w:themeColor="text1"/>
          <w:sz w:val="24"/>
          <w:szCs w:val="24"/>
        </w:rPr>
        <w:t xml:space="preserve"> basic</w:t>
      </w:r>
      <w:r w:rsidR="0029510E" w:rsidRPr="006340BE">
        <w:rPr>
          <w:rFonts w:ascii="Times New Roman" w:hAnsi="Times New Roman"/>
          <w:color w:val="000000" w:themeColor="text1"/>
          <w:sz w:val="24"/>
          <w:szCs w:val="24"/>
        </w:rPr>
        <w:t xml:space="preserve"> research to deployment</w:t>
      </w:r>
      <w:r w:rsidR="001E7D93" w:rsidRPr="006340BE">
        <w:rPr>
          <w:rFonts w:ascii="Times New Roman" w:hAnsi="Times New Roman"/>
          <w:color w:val="000000" w:themeColor="text1"/>
          <w:sz w:val="24"/>
          <w:szCs w:val="24"/>
        </w:rPr>
        <w:t>. These roadmaps will allow an efficient use of</w:t>
      </w:r>
      <w:r w:rsidR="0029510E" w:rsidRPr="006340BE">
        <w:rPr>
          <w:rFonts w:ascii="Times New Roman" w:hAnsi="Times New Roman"/>
          <w:color w:val="000000" w:themeColor="text1"/>
          <w:sz w:val="24"/>
          <w:szCs w:val="24"/>
        </w:rPr>
        <w:t xml:space="preserve"> the </w:t>
      </w:r>
      <w:r w:rsidR="00521268" w:rsidRPr="006340BE">
        <w:rPr>
          <w:rFonts w:ascii="Times New Roman" w:hAnsi="Times New Roman"/>
          <w:color w:val="000000" w:themeColor="text1"/>
          <w:sz w:val="24"/>
          <w:szCs w:val="24"/>
        </w:rPr>
        <w:t>full set</w:t>
      </w:r>
      <w:r w:rsidR="0029510E" w:rsidRPr="006340BE">
        <w:rPr>
          <w:rFonts w:ascii="Times New Roman" w:hAnsi="Times New Roman"/>
          <w:color w:val="000000" w:themeColor="text1"/>
          <w:sz w:val="24"/>
          <w:szCs w:val="24"/>
        </w:rPr>
        <w:t xml:space="preserve"> of</w:t>
      </w:r>
      <w:r w:rsidR="001C753E" w:rsidRPr="006340BE">
        <w:rPr>
          <w:rFonts w:ascii="Times New Roman" w:hAnsi="Times New Roman"/>
          <w:color w:val="000000" w:themeColor="text1"/>
          <w:sz w:val="24"/>
          <w:szCs w:val="24"/>
        </w:rPr>
        <w:t xml:space="preserve"> </w:t>
      </w:r>
      <w:r w:rsidR="00247F7B" w:rsidRPr="006340BE">
        <w:rPr>
          <w:rFonts w:ascii="Times New Roman" w:hAnsi="Times New Roman"/>
          <w:color w:val="000000" w:themeColor="text1"/>
          <w:sz w:val="24"/>
          <w:szCs w:val="24"/>
        </w:rPr>
        <w:t>support</w:t>
      </w:r>
      <w:r w:rsidR="001C753E" w:rsidRPr="006340BE">
        <w:rPr>
          <w:rFonts w:ascii="Times New Roman" w:hAnsi="Times New Roman"/>
          <w:color w:val="000000" w:themeColor="text1"/>
          <w:sz w:val="24"/>
          <w:szCs w:val="24"/>
        </w:rPr>
        <w:t xml:space="preserve"> mechanisms</w:t>
      </w:r>
      <w:r w:rsidRPr="006340BE">
        <w:rPr>
          <w:rFonts w:ascii="Times New Roman" w:hAnsi="Times New Roman"/>
          <w:color w:val="000000" w:themeColor="text1"/>
          <w:sz w:val="24"/>
          <w:szCs w:val="24"/>
        </w:rPr>
        <w:t xml:space="preserve"> to crowd in private investments in key cross-border projects</w:t>
      </w:r>
      <w:r w:rsidR="000B26F0" w:rsidRPr="006340BE">
        <w:rPr>
          <w:rFonts w:ascii="Times New Roman" w:hAnsi="Times New Roman"/>
          <w:color w:val="000000" w:themeColor="text1"/>
          <w:sz w:val="24"/>
          <w:szCs w:val="24"/>
        </w:rPr>
        <w:t xml:space="preserve">. </w:t>
      </w:r>
      <w:r w:rsidRPr="006340BE">
        <w:rPr>
          <w:rFonts w:ascii="Times New Roman" w:hAnsi="Times New Roman"/>
          <w:color w:val="000000" w:themeColor="text1"/>
          <w:sz w:val="24"/>
          <w:szCs w:val="24"/>
        </w:rPr>
        <w:t>These roadmaps will be part of</w:t>
      </w:r>
      <w:r w:rsidR="001E7D93" w:rsidRPr="006340BE">
        <w:rPr>
          <w:rFonts w:ascii="Times New Roman" w:hAnsi="Times New Roman"/>
          <w:color w:val="000000" w:themeColor="text1"/>
          <w:sz w:val="24"/>
          <w:szCs w:val="24"/>
        </w:rPr>
        <w:t xml:space="preserve"> the Strategic Innovation Agendas agreed with Member States and industry</w:t>
      </w:r>
      <w:r w:rsidRPr="006340BE">
        <w:rPr>
          <w:rFonts w:ascii="Times New Roman" w:hAnsi="Times New Roman"/>
          <w:color w:val="000000" w:themeColor="text1"/>
          <w:sz w:val="24"/>
          <w:szCs w:val="24"/>
        </w:rPr>
        <w:t>, under the</w:t>
      </w:r>
      <w:r w:rsidR="001E7D93" w:rsidRPr="006340BE">
        <w:rPr>
          <w:rFonts w:ascii="Times New Roman" w:hAnsi="Times New Roman"/>
          <w:color w:val="000000" w:themeColor="text1"/>
          <w:sz w:val="24"/>
          <w:szCs w:val="24"/>
        </w:rPr>
        <w:t xml:space="preserve"> Horizon Europe R&amp;I Partnerships. </w:t>
      </w:r>
      <w:r w:rsidR="000B26F0" w:rsidRPr="006340BE">
        <w:rPr>
          <w:rFonts w:ascii="Times New Roman" w:hAnsi="Times New Roman"/>
          <w:color w:val="000000" w:themeColor="text1"/>
          <w:sz w:val="24"/>
          <w:szCs w:val="24"/>
        </w:rPr>
        <w:t>Pro-innovation r</w:t>
      </w:r>
      <w:r w:rsidR="0029510E" w:rsidRPr="006340BE">
        <w:rPr>
          <w:rFonts w:ascii="Times New Roman" w:hAnsi="Times New Roman"/>
          <w:color w:val="000000" w:themeColor="text1"/>
          <w:sz w:val="24"/>
          <w:szCs w:val="24"/>
        </w:rPr>
        <w:t>egulatory frameworks</w:t>
      </w:r>
      <w:r w:rsidR="0017367C" w:rsidRPr="006340BE">
        <w:rPr>
          <w:rFonts w:ascii="Times New Roman" w:hAnsi="Times New Roman"/>
          <w:color w:val="000000" w:themeColor="text1"/>
          <w:sz w:val="24"/>
          <w:szCs w:val="24"/>
        </w:rPr>
        <w:t xml:space="preserve"> </w:t>
      </w:r>
      <w:r w:rsidR="000B26F0" w:rsidRPr="006340BE">
        <w:rPr>
          <w:rFonts w:ascii="Times New Roman" w:hAnsi="Times New Roman"/>
          <w:color w:val="000000" w:themeColor="text1"/>
          <w:sz w:val="24"/>
          <w:szCs w:val="24"/>
        </w:rPr>
        <w:t>are</w:t>
      </w:r>
      <w:r w:rsidR="001C753E" w:rsidRPr="006340BE">
        <w:rPr>
          <w:rFonts w:ascii="Times New Roman" w:hAnsi="Times New Roman"/>
          <w:color w:val="000000" w:themeColor="text1"/>
          <w:sz w:val="24"/>
          <w:szCs w:val="24"/>
        </w:rPr>
        <w:t xml:space="preserve"> also</w:t>
      </w:r>
      <w:r w:rsidR="000B26F0" w:rsidRPr="006340BE">
        <w:rPr>
          <w:rFonts w:ascii="Times New Roman" w:hAnsi="Times New Roman"/>
          <w:color w:val="000000" w:themeColor="text1"/>
          <w:sz w:val="24"/>
          <w:szCs w:val="24"/>
        </w:rPr>
        <w:t xml:space="preserve"> important </w:t>
      </w:r>
      <w:r w:rsidR="0017367C" w:rsidRPr="006340BE">
        <w:rPr>
          <w:rFonts w:ascii="Times New Roman" w:hAnsi="Times New Roman"/>
          <w:color w:val="000000" w:themeColor="text1"/>
          <w:sz w:val="24"/>
          <w:szCs w:val="24"/>
        </w:rPr>
        <w:t>to foster the development of competitive</w:t>
      </w:r>
      <w:r w:rsidR="001617E8" w:rsidRPr="006340BE">
        <w:rPr>
          <w:rFonts w:ascii="Times New Roman" w:hAnsi="Times New Roman"/>
          <w:color w:val="000000" w:themeColor="text1"/>
          <w:sz w:val="24"/>
          <w:szCs w:val="24"/>
        </w:rPr>
        <w:t xml:space="preserve"> technolog</w:t>
      </w:r>
      <w:r w:rsidR="0017367C" w:rsidRPr="006340BE">
        <w:rPr>
          <w:rFonts w:ascii="Times New Roman" w:hAnsi="Times New Roman"/>
          <w:color w:val="000000" w:themeColor="text1"/>
          <w:sz w:val="24"/>
          <w:szCs w:val="24"/>
        </w:rPr>
        <w:t>ies</w:t>
      </w:r>
      <w:r w:rsidR="001617E8" w:rsidRPr="006340BE">
        <w:rPr>
          <w:rFonts w:ascii="Times New Roman" w:hAnsi="Times New Roman"/>
          <w:color w:val="000000" w:themeColor="text1"/>
          <w:sz w:val="24"/>
          <w:szCs w:val="24"/>
        </w:rPr>
        <w:t xml:space="preserve"> in key strategic </w:t>
      </w:r>
      <w:r w:rsidR="0017367C" w:rsidRPr="006340BE">
        <w:rPr>
          <w:rFonts w:ascii="Times New Roman" w:hAnsi="Times New Roman"/>
          <w:color w:val="000000" w:themeColor="text1"/>
          <w:sz w:val="24"/>
          <w:szCs w:val="24"/>
        </w:rPr>
        <w:t xml:space="preserve">value chains </w:t>
      </w:r>
      <w:r w:rsidR="009C118D" w:rsidRPr="006340BE">
        <w:rPr>
          <w:rFonts w:ascii="Times New Roman" w:hAnsi="Times New Roman"/>
          <w:color w:val="000000" w:themeColor="text1"/>
          <w:sz w:val="24"/>
          <w:szCs w:val="24"/>
        </w:rPr>
        <w:t>while</w:t>
      </w:r>
      <w:r w:rsidR="001617E8" w:rsidRPr="006340BE">
        <w:rPr>
          <w:rFonts w:ascii="Times New Roman" w:hAnsi="Times New Roman"/>
          <w:color w:val="000000" w:themeColor="text1"/>
          <w:sz w:val="24"/>
          <w:szCs w:val="24"/>
        </w:rPr>
        <w:t xml:space="preserve"> </w:t>
      </w:r>
      <w:r w:rsidR="001617E8" w:rsidRPr="006340BE">
        <w:rPr>
          <w:rFonts w:ascii="Times New Roman" w:eastAsia="Calibri" w:hAnsi="Times New Roman" w:cs="Times New Roman"/>
          <w:color w:val="000000" w:themeColor="text1"/>
          <w:sz w:val="24"/>
          <w:szCs w:val="24"/>
          <w:lang w:eastAsia="en-GB"/>
        </w:rPr>
        <w:t>securing a strong</w:t>
      </w:r>
      <w:r w:rsidR="009C118D" w:rsidRPr="006340BE">
        <w:rPr>
          <w:rFonts w:ascii="Times New Roman" w:eastAsia="Calibri" w:hAnsi="Times New Roman" w:cs="Times New Roman"/>
          <w:color w:val="000000" w:themeColor="text1"/>
          <w:sz w:val="24"/>
          <w:szCs w:val="24"/>
          <w:lang w:eastAsia="en-GB"/>
        </w:rPr>
        <w:t>er</w:t>
      </w:r>
      <w:r w:rsidR="001617E8" w:rsidRPr="006340BE">
        <w:rPr>
          <w:rFonts w:ascii="Times New Roman" w:eastAsia="Calibri" w:hAnsi="Times New Roman" w:cs="Times New Roman"/>
          <w:color w:val="000000" w:themeColor="text1"/>
          <w:sz w:val="24"/>
          <w:szCs w:val="24"/>
          <w:lang w:eastAsia="en-GB"/>
        </w:rPr>
        <w:t xml:space="preserve"> European position. </w:t>
      </w:r>
    </w:p>
    <w:p w14:paraId="2712B45A" w14:textId="2CF89F46" w:rsidR="00FC1BC8" w:rsidRPr="006340BE" w:rsidRDefault="007441F1" w:rsidP="00F74968">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Th</w:t>
      </w:r>
      <w:r w:rsidR="008C328D" w:rsidRPr="006340BE">
        <w:rPr>
          <w:rFonts w:ascii="Times New Roman" w:hAnsi="Times New Roman" w:cs="Times New Roman"/>
          <w:bCs/>
          <w:color w:val="000000" w:themeColor="text1"/>
          <w:sz w:val="24"/>
          <w:szCs w:val="24"/>
        </w:rPr>
        <w:t>e European Universit</w:t>
      </w:r>
      <w:r w:rsidR="007C54D2" w:rsidRPr="006340BE">
        <w:rPr>
          <w:rFonts w:ascii="Times New Roman" w:hAnsi="Times New Roman" w:cs="Times New Roman"/>
          <w:bCs/>
          <w:color w:val="000000" w:themeColor="text1"/>
          <w:sz w:val="24"/>
          <w:szCs w:val="24"/>
        </w:rPr>
        <w:t>ies</w:t>
      </w:r>
      <w:r w:rsidR="00F01882" w:rsidRPr="006340BE">
        <w:rPr>
          <w:rFonts w:ascii="Times New Roman" w:hAnsi="Times New Roman" w:cs="Times New Roman"/>
          <w:bCs/>
          <w:color w:val="000000" w:themeColor="text1"/>
          <w:sz w:val="24"/>
          <w:szCs w:val="24"/>
        </w:rPr>
        <w:t xml:space="preserve"> and</w:t>
      </w:r>
      <w:r w:rsidR="0023161F" w:rsidRPr="006340BE">
        <w:rPr>
          <w:rFonts w:ascii="Times New Roman" w:hAnsi="Times New Roman" w:cs="Times New Roman"/>
          <w:bCs/>
          <w:color w:val="000000" w:themeColor="text1"/>
          <w:sz w:val="24"/>
          <w:szCs w:val="24"/>
        </w:rPr>
        <w:t xml:space="preserve"> </w:t>
      </w:r>
      <w:r w:rsidR="00F01882" w:rsidRPr="006340BE">
        <w:rPr>
          <w:rFonts w:ascii="Times New Roman" w:hAnsi="Times New Roman" w:cs="Times New Roman"/>
          <w:bCs/>
          <w:color w:val="000000" w:themeColor="text1"/>
          <w:sz w:val="24"/>
          <w:szCs w:val="24"/>
        </w:rPr>
        <w:t>r</w:t>
      </w:r>
      <w:r w:rsidR="0023161F" w:rsidRPr="006340BE">
        <w:rPr>
          <w:rFonts w:ascii="Times New Roman" w:hAnsi="Times New Roman" w:cs="Times New Roman"/>
          <w:bCs/>
          <w:color w:val="000000" w:themeColor="text1"/>
          <w:sz w:val="24"/>
          <w:szCs w:val="24"/>
        </w:rPr>
        <w:t xml:space="preserve">esearch and </w:t>
      </w:r>
      <w:r w:rsidR="00F01882" w:rsidRPr="006340BE">
        <w:rPr>
          <w:rFonts w:ascii="Times New Roman" w:hAnsi="Times New Roman" w:cs="Times New Roman"/>
          <w:bCs/>
          <w:color w:val="000000" w:themeColor="text1"/>
          <w:sz w:val="24"/>
          <w:szCs w:val="24"/>
        </w:rPr>
        <w:t>t</w:t>
      </w:r>
      <w:r w:rsidR="0023161F" w:rsidRPr="006340BE">
        <w:rPr>
          <w:rFonts w:ascii="Times New Roman" w:hAnsi="Times New Roman" w:cs="Times New Roman"/>
          <w:bCs/>
          <w:color w:val="000000" w:themeColor="text1"/>
          <w:sz w:val="24"/>
          <w:szCs w:val="24"/>
        </w:rPr>
        <w:t xml:space="preserve">echnology </w:t>
      </w:r>
      <w:r w:rsidR="00F01882" w:rsidRPr="006340BE">
        <w:rPr>
          <w:rFonts w:ascii="Times New Roman" w:hAnsi="Times New Roman" w:cs="Times New Roman"/>
          <w:bCs/>
          <w:color w:val="000000" w:themeColor="text1"/>
          <w:sz w:val="24"/>
          <w:szCs w:val="24"/>
        </w:rPr>
        <w:t>o</w:t>
      </w:r>
      <w:r w:rsidR="0023161F" w:rsidRPr="006340BE">
        <w:rPr>
          <w:rFonts w:ascii="Times New Roman" w:hAnsi="Times New Roman" w:cs="Times New Roman"/>
          <w:bCs/>
          <w:color w:val="000000" w:themeColor="text1"/>
          <w:sz w:val="24"/>
          <w:szCs w:val="24"/>
        </w:rPr>
        <w:t>rganisations</w:t>
      </w:r>
      <w:r w:rsidR="00F01882" w:rsidRPr="006340BE">
        <w:rPr>
          <w:rFonts w:ascii="Times New Roman" w:hAnsi="Times New Roman" w:cs="Times New Roman"/>
          <w:bCs/>
          <w:color w:val="000000" w:themeColor="text1"/>
          <w:sz w:val="24"/>
          <w:szCs w:val="24"/>
        </w:rPr>
        <w:t xml:space="preserve"> (RTO)</w:t>
      </w:r>
      <w:r w:rsidR="001E7D93" w:rsidRPr="006340BE">
        <w:rPr>
          <w:rFonts w:ascii="Times New Roman" w:hAnsi="Times New Roman" w:cs="Times New Roman"/>
          <w:bCs/>
          <w:color w:val="000000" w:themeColor="text1"/>
          <w:sz w:val="24"/>
          <w:szCs w:val="24"/>
        </w:rPr>
        <w:t xml:space="preserve"> and EU Technology Infrastructures</w:t>
      </w:r>
      <w:r w:rsidR="0023161F" w:rsidRPr="006340BE">
        <w:rPr>
          <w:rFonts w:ascii="Times New Roman" w:hAnsi="Times New Roman" w:cs="Times New Roman"/>
          <w:bCs/>
          <w:color w:val="000000" w:themeColor="text1"/>
          <w:sz w:val="24"/>
          <w:szCs w:val="24"/>
        </w:rPr>
        <w:t xml:space="preserve">, </w:t>
      </w:r>
      <w:r w:rsidR="008C328D" w:rsidRPr="006340BE">
        <w:rPr>
          <w:rFonts w:ascii="Times New Roman" w:hAnsi="Times New Roman" w:cs="Times New Roman"/>
          <w:bCs/>
          <w:color w:val="000000" w:themeColor="text1"/>
          <w:sz w:val="24"/>
          <w:szCs w:val="24"/>
        </w:rPr>
        <w:t>as producers of high quality knowledge underpin</w:t>
      </w:r>
      <w:r w:rsidR="0023161F" w:rsidRPr="006340BE">
        <w:rPr>
          <w:rFonts w:ascii="Times New Roman" w:hAnsi="Times New Roman" w:cs="Times New Roman"/>
          <w:bCs/>
          <w:color w:val="000000" w:themeColor="text1"/>
          <w:sz w:val="24"/>
          <w:szCs w:val="24"/>
        </w:rPr>
        <w:t>ning</w:t>
      </w:r>
      <w:r w:rsidR="008C328D" w:rsidRPr="006340BE">
        <w:rPr>
          <w:rFonts w:ascii="Times New Roman" w:hAnsi="Times New Roman" w:cs="Times New Roman"/>
          <w:bCs/>
          <w:color w:val="000000" w:themeColor="text1"/>
          <w:sz w:val="24"/>
          <w:szCs w:val="24"/>
        </w:rPr>
        <w:t xml:space="preserve"> industrial innovation</w:t>
      </w:r>
      <w:r w:rsidR="0023161F" w:rsidRPr="006340BE">
        <w:rPr>
          <w:rFonts w:ascii="Times New Roman" w:hAnsi="Times New Roman" w:cs="Times New Roman"/>
          <w:bCs/>
          <w:color w:val="000000" w:themeColor="text1"/>
          <w:sz w:val="24"/>
          <w:szCs w:val="24"/>
        </w:rPr>
        <w:t>,</w:t>
      </w:r>
      <w:r w:rsidR="008C328D" w:rsidRPr="006340BE">
        <w:rPr>
          <w:rFonts w:ascii="Times New Roman" w:hAnsi="Times New Roman" w:cs="Times New Roman"/>
          <w:bCs/>
          <w:color w:val="000000" w:themeColor="text1"/>
          <w:sz w:val="24"/>
          <w:szCs w:val="24"/>
        </w:rPr>
        <w:t xml:space="preserve"> will </w:t>
      </w:r>
      <w:r w:rsidR="000C427D" w:rsidRPr="006340BE">
        <w:rPr>
          <w:rFonts w:ascii="Times New Roman" w:hAnsi="Times New Roman" w:cs="Times New Roman"/>
          <w:bCs/>
          <w:color w:val="000000" w:themeColor="text1"/>
          <w:sz w:val="24"/>
          <w:szCs w:val="24"/>
        </w:rPr>
        <w:t>be key partners in developing these roadmaps</w:t>
      </w:r>
      <w:r w:rsidR="00310FBD" w:rsidRPr="006340BE">
        <w:rPr>
          <w:rFonts w:ascii="Times New Roman" w:hAnsi="Times New Roman" w:cs="Times New Roman"/>
          <w:bCs/>
          <w:color w:val="000000" w:themeColor="text1"/>
          <w:sz w:val="24"/>
          <w:szCs w:val="24"/>
        </w:rPr>
        <w:t>.</w:t>
      </w:r>
      <w:r w:rsidR="008C328D" w:rsidRPr="006340BE">
        <w:rPr>
          <w:rFonts w:ascii="Times New Roman" w:hAnsi="Times New Roman" w:cs="Times New Roman"/>
          <w:bCs/>
          <w:color w:val="000000" w:themeColor="text1"/>
          <w:sz w:val="24"/>
          <w:szCs w:val="24"/>
        </w:rPr>
        <w:t xml:space="preserve"> </w:t>
      </w:r>
    </w:p>
    <w:p w14:paraId="139DA1A9" w14:textId="2B444BC3" w:rsidR="004C70EC" w:rsidRPr="00754C9D" w:rsidRDefault="004C70EC" w:rsidP="00F7496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bCs/>
          <w:color w:val="000000" w:themeColor="text1"/>
          <w:sz w:val="24"/>
          <w:szCs w:val="24"/>
          <w:highlight w:val="yellow"/>
        </w:rPr>
      </w:pPr>
      <w:r w:rsidRPr="00754C9D">
        <w:rPr>
          <w:rFonts w:ascii="Times New Roman" w:hAnsi="Times New Roman" w:cs="Times New Roman"/>
          <w:bCs/>
          <w:color w:val="000000" w:themeColor="text1"/>
          <w:sz w:val="24"/>
          <w:szCs w:val="24"/>
          <w:highlight w:val="yellow"/>
        </w:rPr>
        <w:t>The Commission will</w:t>
      </w:r>
      <w:r w:rsidR="00224EFE" w:rsidRPr="00754C9D">
        <w:rPr>
          <w:rFonts w:ascii="Times New Roman" w:hAnsi="Times New Roman" w:cs="Times New Roman"/>
          <w:bCs/>
          <w:color w:val="000000" w:themeColor="text1"/>
          <w:sz w:val="24"/>
          <w:szCs w:val="24"/>
          <w:highlight w:val="yellow"/>
        </w:rPr>
        <w:t>, in cooperation with Member States and stakeholders</w:t>
      </w:r>
      <w:r w:rsidRPr="00754C9D">
        <w:rPr>
          <w:rFonts w:ascii="Times New Roman" w:hAnsi="Times New Roman" w:cs="Times New Roman"/>
          <w:bCs/>
          <w:color w:val="000000" w:themeColor="text1"/>
          <w:sz w:val="24"/>
          <w:szCs w:val="24"/>
          <w:highlight w:val="yellow"/>
        </w:rPr>
        <w:t>:</w:t>
      </w:r>
    </w:p>
    <w:p w14:paraId="0548D3BE" w14:textId="32D692C3" w:rsidR="003D7685" w:rsidRPr="00754C9D" w:rsidRDefault="00FE423F" w:rsidP="00F74968">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contextualSpacing w:val="0"/>
        <w:jc w:val="both"/>
        <w:rPr>
          <w:rFonts w:ascii="Times New Roman" w:hAnsi="Times New Roman" w:cs="Times New Roman"/>
          <w:color w:val="000000" w:themeColor="text1"/>
          <w:sz w:val="24"/>
          <w:szCs w:val="24"/>
          <w:highlight w:val="yellow"/>
          <w:u w:val="single"/>
        </w:rPr>
      </w:pPr>
      <w:r w:rsidRPr="00754C9D">
        <w:rPr>
          <w:rFonts w:ascii="Times New Roman" w:hAnsi="Times New Roman" w:cs="Times New Roman"/>
          <w:color w:val="000000" w:themeColor="text1"/>
          <w:sz w:val="24"/>
          <w:szCs w:val="24"/>
          <w:highlight w:val="yellow"/>
        </w:rPr>
        <w:t xml:space="preserve">Support </w:t>
      </w:r>
      <w:r w:rsidR="000C427D" w:rsidRPr="00754C9D">
        <w:rPr>
          <w:rFonts w:ascii="Times New Roman" w:hAnsi="Times New Roman" w:cs="Times New Roman"/>
          <w:color w:val="000000" w:themeColor="text1"/>
          <w:sz w:val="24"/>
          <w:szCs w:val="24"/>
          <w:highlight w:val="yellow"/>
        </w:rPr>
        <w:t xml:space="preserve">the implementation of the </w:t>
      </w:r>
      <w:r w:rsidRPr="00754C9D">
        <w:rPr>
          <w:rFonts w:ascii="Times New Roman" w:hAnsi="Times New Roman" w:cs="Times New Roman"/>
          <w:color w:val="000000" w:themeColor="text1"/>
          <w:sz w:val="24"/>
          <w:szCs w:val="24"/>
          <w:highlight w:val="yellow"/>
        </w:rPr>
        <w:t xml:space="preserve">New </w:t>
      </w:r>
      <w:r w:rsidR="000C427D" w:rsidRPr="00754C9D">
        <w:rPr>
          <w:rFonts w:ascii="Times New Roman" w:hAnsi="Times New Roman" w:cs="Times New Roman"/>
          <w:color w:val="000000" w:themeColor="text1"/>
          <w:sz w:val="24"/>
          <w:szCs w:val="24"/>
          <w:highlight w:val="yellow"/>
        </w:rPr>
        <w:t xml:space="preserve">Industrial Strategy by jointly developing common industrial technology roadmaps </w:t>
      </w:r>
      <w:r w:rsidRPr="00754C9D">
        <w:rPr>
          <w:rFonts w:ascii="Times New Roman" w:hAnsi="Times New Roman" w:cs="Times New Roman"/>
          <w:color w:val="000000" w:themeColor="text1"/>
          <w:sz w:val="24"/>
          <w:szCs w:val="24"/>
          <w:highlight w:val="yellow"/>
        </w:rPr>
        <w:t xml:space="preserve">by </w:t>
      </w:r>
      <w:r w:rsidR="0006704B" w:rsidRPr="00754C9D">
        <w:rPr>
          <w:rFonts w:ascii="Times New Roman" w:hAnsi="Times New Roman" w:cs="Times New Roman"/>
          <w:color w:val="000000" w:themeColor="text1"/>
          <w:sz w:val="24"/>
          <w:szCs w:val="24"/>
          <w:highlight w:val="yellow"/>
        </w:rPr>
        <w:t xml:space="preserve">the </w:t>
      </w:r>
      <w:r w:rsidR="00CF5B6A" w:rsidRPr="00754C9D">
        <w:rPr>
          <w:rFonts w:ascii="Times New Roman" w:hAnsi="Times New Roman" w:cs="Times New Roman"/>
          <w:color w:val="000000" w:themeColor="text1"/>
          <w:sz w:val="24"/>
          <w:szCs w:val="24"/>
          <w:highlight w:val="yellow"/>
        </w:rPr>
        <w:t>end of</w:t>
      </w:r>
      <w:r w:rsidRPr="00754C9D">
        <w:rPr>
          <w:rFonts w:ascii="Times New Roman" w:hAnsi="Times New Roman" w:cs="Times New Roman"/>
          <w:color w:val="000000" w:themeColor="text1"/>
          <w:sz w:val="24"/>
          <w:szCs w:val="24"/>
          <w:highlight w:val="yellow"/>
        </w:rPr>
        <w:t xml:space="preserve"> 202</w:t>
      </w:r>
      <w:r w:rsidR="00AE69A5" w:rsidRPr="00754C9D">
        <w:rPr>
          <w:rFonts w:ascii="Times New Roman" w:hAnsi="Times New Roman" w:cs="Times New Roman"/>
          <w:color w:val="000000" w:themeColor="text1"/>
          <w:sz w:val="24"/>
          <w:szCs w:val="24"/>
          <w:highlight w:val="yellow"/>
        </w:rPr>
        <w:t>2</w:t>
      </w:r>
      <w:r w:rsidRPr="00754C9D">
        <w:rPr>
          <w:rFonts w:ascii="Times New Roman" w:hAnsi="Times New Roman" w:cs="Times New Roman"/>
          <w:color w:val="000000" w:themeColor="text1"/>
          <w:sz w:val="24"/>
          <w:szCs w:val="24"/>
          <w:highlight w:val="yellow"/>
        </w:rPr>
        <w:t xml:space="preserve"> </w:t>
      </w:r>
      <w:r w:rsidR="000C427D" w:rsidRPr="00754C9D">
        <w:rPr>
          <w:rFonts w:ascii="Times New Roman" w:hAnsi="Times New Roman" w:cs="Times New Roman"/>
          <w:color w:val="000000" w:themeColor="text1"/>
          <w:sz w:val="24"/>
          <w:szCs w:val="24"/>
          <w:highlight w:val="yellow"/>
        </w:rPr>
        <w:t xml:space="preserve">to align and link key partnerships under Horizon Europe with </w:t>
      </w:r>
      <w:r w:rsidRPr="00754C9D">
        <w:rPr>
          <w:rFonts w:ascii="Times New Roman" w:hAnsi="Times New Roman" w:cs="Times New Roman"/>
          <w:color w:val="000000" w:themeColor="text1"/>
          <w:sz w:val="24"/>
          <w:szCs w:val="24"/>
          <w:highlight w:val="yellow"/>
        </w:rPr>
        <w:t>industrial ecosystems</w:t>
      </w:r>
      <w:r w:rsidR="00823456" w:rsidRPr="00754C9D">
        <w:rPr>
          <w:rFonts w:ascii="Times New Roman" w:hAnsi="Times New Roman" w:cs="Times New Roman"/>
          <w:color w:val="000000" w:themeColor="text1"/>
          <w:sz w:val="24"/>
          <w:szCs w:val="24"/>
          <w:highlight w:val="yellow"/>
        </w:rPr>
        <w:t>, so</w:t>
      </w:r>
      <w:r w:rsidR="009E3399" w:rsidRPr="00754C9D">
        <w:rPr>
          <w:rFonts w:ascii="Times New Roman" w:hAnsi="Times New Roman" w:cs="Times New Roman"/>
          <w:color w:val="000000" w:themeColor="text1"/>
          <w:sz w:val="24"/>
          <w:szCs w:val="24"/>
          <w:highlight w:val="yellow"/>
        </w:rPr>
        <w:t xml:space="preserve"> as</w:t>
      </w:r>
      <w:r w:rsidR="00823456" w:rsidRPr="00754C9D">
        <w:rPr>
          <w:rFonts w:ascii="Times New Roman" w:hAnsi="Times New Roman" w:cs="Times New Roman"/>
          <w:color w:val="000000" w:themeColor="text1"/>
          <w:sz w:val="24"/>
          <w:szCs w:val="24"/>
          <w:highlight w:val="yellow"/>
        </w:rPr>
        <w:t xml:space="preserve"> to ensure that efforts team up and that research results are known and rolled out faster in the </w:t>
      </w:r>
      <w:r w:rsidR="00742A35" w:rsidRPr="00754C9D">
        <w:rPr>
          <w:rFonts w:ascii="Times New Roman" w:hAnsi="Times New Roman" w:cs="Times New Roman"/>
          <w:color w:val="000000" w:themeColor="text1"/>
          <w:sz w:val="24"/>
          <w:szCs w:val="24"/>
          <w:highlight w:val="yellow"/>
        </w:rPr>
        <w:t>economy.</w:t>
      </w:r>
    </w:p>
    <w:p w14:paraId="3C115AEB" w14:textId="3660AFF8" w:rsidR="00437E56" w:rsidRPr="006340BE" w:rsidRDefault="00437E56" w:rsidP="008F1A23">
      <w:pPr>
        <w:keepNext/>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u w:val="single"/>
        </w:rPr>
        <w:lastRenderedPageBreak/>
        <w:t>Strengthening innovation ecosystems for knowledge circulation and valorisation</w:t>
      </w:r>
    </w:p>
    <w:p w14:paraId="55EFE4F5" w14:textId="29BEDD10" w:rsidR="003A6B6B" w:rsidRPr="006340BE" w:rsidRDefault="003D7685" w:rsidP="008F1A23">
      <w:pPr>
        <w:keepLines/>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Knowledge circulation and creati</w:t>
      </w:r>
      <w:r w:rsidR="008A7C7C" w:rsidRPr="006340BE">
        <w:rPr>
          <w:rFonts w:ascii="Times New Roman" w:hAnsi="Times New Roman" w:cs="Times New Roman"/>
          <w:color w:val="000000" w:themeColor="text1"/>
          <w:sz w:val="24"/>
          <w:szCs w:val="24"/>
        </w:rPr>
        <w:t>on of</w:t>
      </w:r>
      <w:r w:rsidRPr="006340BE">
        <w:rPr>
          <w:rFonts w:ascii="Times New Roman" w:hAnsi="Times New Roman" w:cs="Times New Roman"/>
          <w:color w:val="000000" w:themeColor="text1"/>
          <w:sz w:val="24"/>
          <w:szCs w:val="24"/>
        </w:rPr>
        <w:t xml:space="preserve"> value from knowledge </w:t>
      </w:r>
      <w:r w:rsidR="00E14D49" w:rsidRPr="006340BE">
        <w:rPr>
          <w:rFonts w:ascii="Times New Roman" w:hAnsi="Times New Roman" w:cs="Times New Roman"/>
          <w:color w:val="000000" w:themeColor="text1"/>
          <w:sz w:val="24"/>
          <w:szCs w:val="24"/>
        </w:rPr>
        <w:t>are</w:t>
      </w:r>
      <w:r w:rsidRPr="006340BE">
        <w:rPr>
          <w:rFonts w:ascii="Times New Roman" w:hAnsi="Times New Roman" w:cs="Times New Roman"/>
          <w:color w:val="000000" w:themeColor="text1"/>
          <w:sz w:val="24"/>
          <w:szCs w:val="24"/>
        </w:rPr>
        <w:t xml:space="preserve"> important parts of </w:t>
      </w:r>
      <w:r w:rsidR="00BC734B" w:rsidRPr="006340BE">
        <w:rPr>
          <w:rFonts w:ascii="Times New Roman" w:hAnsi="Times New Roman" w:cs="Times New Roman"/>
          <w:color w:val="000000" w:themeColor="text1"/>
          <w:sz w:val="24"/>
          <w:szCs w:val="24"/>
        </w:rPr>
        <w:t xml:space="preserve">the </w:t>
      </w:r>
      <w:r w:rsidRPr="006340BE">
        <w:rPr>
          <w:rFonts w:ascii="Times New Roman" w:hAnsi="Times New Roman" w:cs="Times New Roman"/>
          <w:color w:val="000000" w:themeColor="text1"/>
          <w:sz w:val="24"/>
          <w:szCs w:val="24"/>
        </w:rPr>
        <w:t>ERA</w:t>
      </w:r>
      <w:r w:rsidR="00E14D49" w:rsidRPr="006340BE">
        <w:rPr>
          <w:rFonts w:ascii="Times New Roman" w:hAnsi="Times New Roman" w:cs="Times New Roman"/>
          <w:color w:val="000000" w:themeColor="text1"/>
          <w:sz w:val="24"/>
          <w:szCs w:val="24"/>
        </w:rPr>
        <w:t xml:space="preserve">. </w:t>
      </w:r>
      <w:r w:rsidR="00E00CFF" w:rsidRPr="00754C9D">
        <w:rPr>
          <w:rFonts w:ascii="Times New Roman" w:hAnsi="Times New Roman" w:cs="Times New Roman"/>
          <w:color w:val="000000" w:themeColor="text1"/>
          <w:sz w:val="24"/>
          <w:szCs w:val="24"/>
          <w:highlight w:val="yellow"/>
        </w:rPr>
        <w:t>R&amp;I Hubs and Centres of excellence</w:t>
      </w:r>
      <w:r w:rsidR="007970A8" w:rsidRPr="00754C9D">
        <w:rPr>
          <w:rFonts w:ascii="Times New Roman" w:hAnsi="Times New Roman" w:cs="Times New Roman"/>
          <w:color w:val="000000" w:themeColor="text1"/>
          <w:sz w:val="24"/>
          <w:szCs w:val="24"/>
          <w:highlight w:val="yellow"/>
        </w:rPr>
        <w:t xml:space="preserve">, </w:t>
      </w:r>
      <w:r w:rsidR="00E00CFF" w:rsidRPr="00754C9D">
        <w:rPr>
          <w:rFonts w:ascii="Times New Roman" w:hAnsi="Times New Roman" w:cs="Times New Roman"/>
          <w:color w:val="000000" w:themeColor="text1"/>
          <w:sz w:val="24"/>
          <w:szCs w:val="24"/>
          <w:highlight w:val="yellow"/>
        </w:rPr>
        <w:t>spread</w:t>
      </w:r>
      <w:r w:rsidR="00E00CFF" w:rsidRPr="006340BE">
        <w:rPr>
          <w:rFonts w:ascii="Times New Roman" w:hAnsi="Times New Roman" w:cs="Times New Roman"/>
          <w:color w:val="000000" w:themeColor="text1"/>
          <w:sz w:val="24"/>
          <w:szCs w:val="24"/>
        </w:rPr>
        <w:t xml:space="preserve"> across EU Member States and regions. They </w:t>
      </w:r>
      <w:r w:rsidR="00823456" w:rsidRPr="006340BE">
        <w:rPr>
          <w:rFonts w:ascii="Times New Roman" w:hAnsi="Times New Roman" w:cs="Times New Roman"/>
          <w:color w:val="000000" w:themeColor="text1"/>
          <w:sz w:val="24"/>
          <w:szCs w:val="24"/>
        </w:rPr>
        <w:t>facilitat</w:t>
      </w:r>
      <w:r w:rsidR="008F1E6D">
        <w:rPr>
          <w:rFonts w:ascii="Times New Roman" w:hAnsi="Times New Roman" w:cs="Times New Roman"/>
          <w:color w:val="000000" w:themeColor="text1"/>
          <w:sz w:val="24"/>
          <w:szCs w:val="24"/>
        </w:rPr>
        <w:t>e</w:t>
      </w:r>
      <w:r w:rsidR="00823456" w:rsidRPr="006340BE">
        <w:rPr>
          <w:rFonts w:ascii="Times New Roman" w:hAnsi="Times New Roman" w:cs="Times New Roman"/>
          <w:color w:val="000000" w:themeColor="text1"/>
          <w:sz w:val="24"/>
          <w:szCs w:val="24"/>
        </w:rPr>
        <w:t xml:space="preserve"> the involvement of</w:t>
      </w:r>
      <w:r w:rsidR="00E90817" w:rsidRPr="006340BE">
        <w:rPr>
          <w:rFonts w:ascii="Times New Roman" w:hAnsi="Times New Roman" w:cs="Times New Roman"/>
          <w:color w:val="000000" w:themeColor="text1"/>
          <w:sz w:val="24"/>
          <w:szCs w:val="24"/>
        </w:rPr>
        <w:t xml:space="preserve"> </w:t>
      </w:r>
      <w:r w:rsidR="008A7C7C" w:rsidRPr="006340BE">
        <w:rPr>
          <w:rFonts w:ascii="Times New Roman" w:hAnsi="Times New Roman" w:cs="Times New Roman"/>
          <w:color w:val="000000" w:themeColor="text1"/>
          <w:sz w:val="24"/>
          <w:szCs w:val="24"/>
        </w:rPr>
        <w:t xml:space="preserve">a </w:t>
      </w:r>
      <w:r w:rsidR="00E90817" w:rsidRPr="006340BE">
        <w:rPr>
          <w:rFonts w:ascii="Times New Roman" w:hAnsi="Times New Roman" w:cs="Times New Roman"/>
          <w:color w:val="000000" w:themeColor="text1"/>
          <w:sz w:val="24"/>
          <w:szCs w:val="24"/>
        </w:rPr>
        <w:t>divers</w:t>
      </w:r>
      <w:r w:rsidR="000968AD" w:rsidRPr="006340BE">
        <w:rPr>
          <w:rFonts w:ascii="Times New Roman" w:hAnsi="Times New Roman" w:cs="Times New Roman"/>
          <w:color w:val="000000" w:themeColor="text1"/>
          <w:sz w:val="24"/>
          <w:szCs w:val="24"/>
        </w:rPr>
        <w:t>ity of</w:t>
      </w:r>
      <w:r w:rsidRPr="006340BE">
        <w:rPr>
          <w:rFonts w:ascii="Times New Roman" w:hAnsi="Times New Roman" w:cs="Times New Roman"/>
          <w:color w:val="000000" w:themeColor="text1"/>
          <w:sz w:val="24"/>
          <w:szCs w:val="24"/>
        </w:rPr>
        <w:t xml:space="preserve"> </w:t>
      </w:r>
      <w:r w:rsidR="000968AD" w:rsidRPr="006340BE">
        <w:rPr>
          <w:rFonts w:ascii="Times New Roman" w:hAnsi="Times New Roman" w:cs="Times New Roman"/>
          <w:color w:val="000000" w:themeColor="text1"/>
          <w:sz w:val="24"/>
          <w:szCs w:val="24"/>
        </w:rPr>
        <w:t xml:space="preserve">stakeholders </w:t>
      </w:r>
      <w:r w:rsidR="00E90817" w:rsidRPr="006340BE">
        <w:rPr>
          <w:rFonts w:ascii="Times New Roman" w:hAnsi="Times New Roman" w:cs="Times New Roman"/>
          <w:color w:val="000000" w:themeColor="text1"/>
          <w:sz w:val="24"/>
          <w:szCs w:val="24"/>
        </w:rPr>
        <w:t>in multi-disciplinary and cross-sectorial collaborations. The</w:t>
      </w:r>
      <w:r w:rsidR="000968AD" w:rsidRPr="006340BE">
        <w:rPr>
          <w:rFonts w:ascii="Times New Roman" w:hAnsi="Times New Roman" w:cs="Times New Roman"/>
          <w:color w:val="000000" w:themeColor="text1"/>
          <w:sz w:val="24"/>
          <w:szCs w:val="24"/>
        </w:rPr>
        <w:t xml:space="preserve">y </w:t>
      </w:r>
      <w:r w:rsidR="005901EA" w:rsidRPr="006340BE">
        <w:rPr>
          <w:rFonts w:ascii="Times New Roman" w:hAnsi="Times New Roman" w:cs="Times New Roman"/>
          <w:color w:val="000000" w:themeColor="text1"/>
          <w:sz w:val="24"/>
          <w:szCs w:val="24"/>
        </w:rPr>
        <w:t>provide a valuable and still largely missing service to innovative start-ups and SMEs</w:t>
      </w:r>
      <w:r w:rsidR="005313E7">
        <w:rPr>
          <w:rFonts w:ascii="Times New Roman" w:hAnsi="Times New Roman" w:cs="Times New Roman"/>
          <w:color w:val="000000" w:themeColor="text1"/>
          <w:sz w:val="24"/>
          <w:szCs w:val="24"/>
        </w:rPr>
        <w:t xml:space="preserve">, </w:t>
      </w:r>
      <w:r w:rsidR="005901EA" w:rsidRPr="006340BE">
        <w:rPr>
          <w:rFonts w:ascii="Times New Roman" w:hAnsi="Times New Roman" w:cs="Times New Roman"/>
          <w:color w:val="000000" w:themeColor="text1"/>
          <w:sz w:val="24"/>
          <w:szCs w:val="24"/>
        </w:rPr>
        <w:t>which face particular market failures</w:t>
      </w:r>
      <w:r w:rsidR="008F1E6D">
        <w:rPr>
          <w:rFonts w:ascii="Times New Roman" w:hAnsi="Times New Roman" w:cs="Times New Roman"/>
          <w:color w:val="000000" w:themeColor="text1"/>
          <w:sz w:val="24"/>
          <w:szCs w:val="24"/>
        </w:rPr>
        <w:t xml:space="preserve"> or obstacles</w:t>
      </w:r>
      <w:r w:rsidRPr="006340BE">
        <w:rPr>
          <w:rFonts w:ascii="Times New Roman" w:hAnsi="Times New Roman" w:cs="Times New Roman"/>
          <w:color w:val="000000" w:themeColor="text1"/>
          <w:sz w:val="24"/>
          <w:szCs w:val="24"/>
        </w:rPr>
        <w:t xml:space="preserve">. </w:t>
      </w:r>
    </w:p>
    <w:p w14:paraId="2CB664D7" w14:textId="7CC40E26" w:rsidR="00BE10F8" w:rsidRPr="006340BE" w:rsidRDefault="00BE10F8" w:rsidP="00BE10F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Over the years, different types of supportive structures were created, ranging from Centres of Excellence to advisory services or specialised innovation hubs. There could be great benefit </w:t>
      </w:r>
      <w:proofErr w:type="gramStart"/>
      <w:r w:rsidRPr="006340BE">
        <w:rPr>
          <w:rFonts w:ascii="Times New Roman" w:hAnsi="Times New Roman" w:cs="Times New Roman"/>
          <w:color w:val="000000" w:themeColor="text1"/>
          <w:sz w:val="24"/>
          <w:szCs w:val="24"/>
        </w:rPr>
        <w:t>from  fostering</w:t>
      </w:r>
      <w:proofErr w:type="gramEnd"/>
      <w:r w:rsidRPr="006340BE">
        <w:rPr>
          <w:rFonts w:ascii="Times New Roman" w:hAnsi="Times New Roman" w:cs="Times New Roman"/>
          <w:color w:val="000000" w:themeColor="text1"/>
          <w:sz w:val="24"/>
          <w:szCs w:val="24"/>
        </w:rPr>
        <w:t xml:space="preserve"> a stronger interconnection between them across the EU.</w:t>
      </w:r>
    </w:p>
    <w:p w14:paraId="1A2AAFDD" w14:textId="5092BE76" w:rsidR="00BE10F8" w:rsidRPr="004C70A4" w:rsidRDefault="00BE10F8" w:rsidP="00F74968">
      <w:pPr>
        <w:spacing w:before="120" w:after="0" w:line="240" w:lineRule="auto"/>
        <w:jc w:val="both"/>
        <w:rPr>
          <w:rFonts w:ascii="Times New Roman" w:hAnsi="Times New Roman"/>
          <w:sz w:val="24"/>
        </w:rPr>
      </w:pPr>
      <w:r w:rsidRPr="004C70A4">
        <w:rPr>
          <w:rFonts w:ascii="Times New Roman" w:hAnsi="Times New Roman"/>
          <w:sz w:val="24"/>
        </w:rPr>
        <w:t>Based on a mapping of existing entities</w:t>
      </w:r>
      <w:r w:rsidR="0040584D" w:rsidRPr="004E416A">
        <w:rPr>
          <w:rFonts w:ascii="Times New Roman" w:hAnsi="Times New Roman" w:cs="Times New Roman"/>
          <w:sz w:val="24"/>
          <w:szCs w:val="24"/>
        </w:rPr>
        <w:t>,</w:t>
      </w:r>
      <w:r w:rsidR="0040584D" w:rsidRPr="004C70A4">
        <w:rPr>
          <w:rFonts w:ascii="Times New Roman" w:hAnsi="Times New Roman"/>
          <w:sz w:val="24"/>
        </w:rPr>
        <w:t xml:space="preserve"> </w:t>
      </w:r>
      <w:r w:rsidRPr="004C70A4">
        <w:rPr>
          <w:rFonts w:ascii="Times New Roman" w:hAnsi="Times New Roman"/>
          <w:sz w:val="24"/>
        </w:rPr>
        <w:t xml:space="preserve">and the analysis of potential gaps, </w:t>
      </w:r>
      <w:r w:rsidRPr="007A78F6">
        <w:rPr>
          <w:rFonts w:ascii="Times New Roman" w:hAnsi="Times New Roman" w:cs="Times New Roman"/>
          <w:sz w:val="24"/>
          <w:szCs w:val="24"/>
          <w:highlight w:val="yellow"/>
        </w:rPr>
        <w:t>a</w:t>
      </w:r>
      <w:r w:rsidR="0040584D" w:rsidRPr="007A78F6">
        <w:rPr>
          <w:rFonts w:ascii="Times New Roman" w:hAnsi="Times New Roman" w:cs="Times New Roman"/>
          <w:sz w:val="24"/>
          <w:szCs w:val="24"/>
          <w:highlight w:val="yellow"/>
        </w:rPr>
        <w:t>n</w:t>
      </w:r>
      <w:r w:rsidRPr="007A78F6">
        <w:rPr>
          <w:rFonts w:ascii="Times New Roman" w:hAnsi="Times New Roman"/>
          <w:sz w:val="24"/>
          <w:highlight w:val="yellow"/>
        </w:rPr>
        <w:t xml:space="preserve"> </w:t>
      </w:r>
      <w:proofErr w:type="spellStart"/>
      <w:r w:rsidRPr="007A78F6">
        <w:rPr>
          <w:rFonts w:ascii="Times New Roman" w:hAnsi="Times New Roman"/>
          <w:i/>
          <w:sz w:val="24"/>
          <w:highlight w:val="yellow"/>
        </w:rPr>
        <w:t>ERAHubs</w:t>
      </w:r>
      <w:proofErr w:type="spellEnd"/>
      <w:r w:rsidRPr="007A78F6">
        <w:rPr>
          <w:rFonts w:ascii="Times New Roman" w:hAnsi="Times New Roman"/>
          <w:sz w:val="24"/>
          <w:highlight w:val="yellow"/>
        </w:rPr>
        <w:t xml:space="preserve"> </w:t>
      </w:r>
      <w:r w:rsidR="00AE69A5" w:rsidRPr="007A78F6">
        <w:rPr>
          <w:rFonts w:ascii="Times New Roman" w:hAnsi="Times New Roman"/>
          <w:sz w:val="24"/>
          <w:highlight w:val="yellow"/>
        </w:rPr>
        <w:t xml:space="preserve">initiative </w:t>
      </w:r>
      <w:r w:rsidR="002511DD" w:rsidRPr="007A78F6">
        <w:rPr>
          <w:rFonts w:ascii="Times New Roman" w:hAnsi="Times New Roman" w:cs="Times New Roman"/>
          <w:sz w:val="24"/>
          <w:szCs w:val="24"/>
          <w:highlight w:val="yellow"/>
        </w:rPr>
        <w:t>could</w:t>
      </w:r>
      <w:r w:rsidR="002511DD" w:rsidRPr="007A78F6">
        <w:rPr>
          <w:rFonts w:ascii="Times New Roman" w:hAnsi="Times New Roman"/>
          <w:sz w:val="24"/>
          <w:highlight w:val="yellow"/>
        </w:rPr>
        <w:t xml:space="preserve"> </w:t>
      </w:r>
      <w:r w:rsidRPr="007A78F6">
        <w:rPr>
          <w:rFonts w:ascii="Times New Roman" w:hAnsi="Times New Roman"/>
          <w:sz w:val="24"/>
          <w:highlight w:val="yellow"/>
        </w:rPr>
        <w:t>be developed</w:t>
      </w:r>
      <w:r w:rsidR="002511DD" w:rsidRPr="007A78F6">
        <w:rPr>
          <w:rFonts w:ascii="Times New Roman" w:hAnsi="Times New Roman" w:cs="Times New Roman"/>
          <w:sz w:val="24"/>
          <w:szCs w:val="24"/>
          <w:highlight w:val="yellow"/>
        </w:rPr>
        <w:t>, building on existing capacities, such as the Digital Innovation</w:t>
      </w:r>
      <w:r w:rsidR="002511DD" w:rsidRPr="004E416A">
        <w:rPr>
          <w:rFonts w:ascii="Times New Roman" w:hAnsi="Times New Roman" w:cs="Times New Roman"/>
          <w:sz w:val="24"/>
          <w:szCs w:val="24"/>
        </w:rPr>
        <w:t xml:space="preserve"> Hubs and clusters, </w:t>
      </w:r>
      <w:r w:rsidR="002511DD" w:rsidRPr="004E416A">
        <w:rPr>
          <w:rFonts w:ascii="Times New Roman" w:hAnsi="Times New Roman" w:cs="Times New Roman"/>
          <w:bCs/>
          <w:sz w:val="24"/>
          <w:szCs w:val="24"/>
        </w:rPr>
        <w:t>and linking to</w:t>
      </w:r>
      <w:r w:rsidR="002511DD" w:rsidRPr="004E416A">
        <w:rPr>
          <w:rFonts w:ascii="Times New Roman" w:hAnsi="Times New Roman" w:cs="Times New Roman"/>
          <w:sz w:val="24"/>
          <w:szCs w:val="24"/>
        </w:rPr>
        <w:t xml:space="preserve"> </w:t>
      </w:r>
      <w:r w:rsidR="002511DD" w:rsidRPr="004E416A">
        <w:rPr>
          <w:rFonts w:ascii="Times New Roman" w:hAnsi="Times New Roman" w:cs="Times New Roman"/>
          <w:bCs/>
          <w:sz w:val="24"/>
          <w:szCs w:val="24"/>
        </w:rPr>
        <w:t>the</w:t>
      </w:r>
      <w:r w:rsidR="002511DD" w:rsidRPr="004E416A">
        <w:rPr>
          <w:rFonts w:ascii="Times New Roman" w:hAnsi="Times New Roman" w:cs="Times New Roman"/>
          <w:sz w:val="24"/>
          <w:szCs w:val="24"/>
        </w:rPr>
        <w:t xml:space="preserve"> Enterprise Europe Network </w:t>
      </w:r>
      <w:r w:rsidR="002511DD" w:rsidRPr="004E416A">
        <w:rPr>
          <w:rFonts w:ascii="Times New Roman" w:hAnsi="Times New Roman" w:cs="Times New Roman"/>
          <w:bCs/>
          <w:sz w:val="24"/>
          <w:szCs w:val="24"/>
        </w:rPr>
        <w:t>and</w:t>
      </w:r>
      <w:r w:rsidR="002511DD" w:rsidRPr="004E416A">
        <w:rPr>
          <w:rFonts w:ascii="Times New Roman" w:hAnsi="Times New Roman" w:cs="Times New Roman"/>
          <w:sz w:val="24"/>
          <w:szCs w:val="24"/>
        </w:rPr>
        <w:t xml:space="preserve"> </w:t>
      </w:r>
      <w:proofErr w:type="spellStart"/>
      <w:r w:rsidR="002511DD" w:rsidRPr="004E416A">
        <w:rPr>
          <w:rFonts w:ascii="Times New Roman" w:hAnsi="Times New Roman" w:cs="Times New Roman"/>
          <w:sz w:val="24"/>
          <w:szCs w:val="24"/>
        </w:rPr>
        <w:t>StartUpEurope</w:t>
      </w:r>
      <w:proofErr w:type="spellEnd"/>
      <w:r w:rsidR="002511DD" w:rsidRPr="004E416A">
        <w:rPr>
          <w:rFonts w:ascii="Times New Roman" w:hAnsi="Times New Roman" w:cs="Times New Roman"/>
          <w:sz w:val="24"/>
          <w:szCs w:val="24"/>
        </w:rPr>
        <w:t>,</w:t>
      </w:r>
      <w:r w:rsidR="002511DD" w:rsidRPr="004C70A4">
        <w:rPr>
          <w:rFonts w:ascii="Times New Roman" w:hAnsi="Times New Roman"/>
          <w:sz w:val="24"/>
        </w:rPr>
        <w:t xml:space="preserve"> to provide </w:t>
      </w:r>
      <w:r w:rsidR="002511DD" w:rsidRPr="004E416A">
        <w:rPr>
          <w:rFonts w:ascii="Times New Roman" w:hAnsi="Times New Roman" w:cs="Times New Roman"/>
          <w:sz w:val="24"/>
          <w:szCs w:val="24"/>
        </w:rPr>
        <w:t>an</w:t>
      </w:r>
      <w:r w:rsidR="002511DD" w:rsidRPr="004E416A">
        <w:rPr>
          <w:rFonts w:ascii="Times New Roman" w:hAnsi="Times New Roman" w:cs="Times New Roman"/>
          <w:bCs/>
          <w:sz w:val="24"/>
          <w:szCs w:val="24"/>
        </w:rPr>
        <w:t xml:space="preserve"> interconnected knowledge space</w:t>
      </w:r>
      <w:r w:rsidR="0040584D" w:rsidRPr="004E416A">
        <w:rPr>
          <w:rFonts w:ascii="Times New Roman" w:hAnsi="Times New Roman" w:cs="Times New Roman"/>
          <w:sz w:val="24"/>
          <w:szCs w:val="24"/>
        </w:rPr>
        <w:t>. Th</w:t>
      </w:r>
      <w:r w:rsidR="004F7B85" w:rsidRPr="004E416A">
        <w:rPr>
          <w:rFonts w:ascii="Times New Roman" w:hAnsi="Times New Roman" w:cs="Times New Roman"/>
          <w:sz w:val="24"/>
          <w:szCs w:val="24"/>
        </w:rPr>
        <w:t>is will</w:t>
      </w:r>
      <w:r w:rsidR="002511DD" w:rsidRPr="004C70A4">
        <w:rPr>
          <w:rFonts w:ascii="Times New Roman" w:hAnsi="Times New Roman"/>
          <w:sz w:val="24"/>
        </w:rPr>
        <w:t xml:space="preserve"> </w:t>
      </w:r>
      <w:r w:rsidRPr="004C70A4">
        <w:rPr>
          <w:rFonts w:ascii="Times New Roman" w:hAnsi="Times New Roman"/>
          <w:sz w:val="24"/>
        </w:rPr>
        <w:t xml:space="preserve">facilitate collaboration and exchange of best practices, </w:t>
      </w:r>
      <w:r w:rsidR="002511DD" w:rsidRPr="004C70A4">
        <w:rPr>
          <w:rFonts w:ascii="Times New Roman" w:hAnsi="Times New Roman"/>
          <w:sz w:val="24"/>
        </w:rPr>
        <w:t xml:space="preserve">with the </w:t>
      </w:r>
      <w:r w:rsidR="002511DD" w:rsidRPr="004E416A">
        <w:rPr>
          <w:rFonts w:ascii="Times New Roman" w:hAnsi="Times New Roman" w:cs="Times New Roman"/>
          <w:sz w:val="24"/>
          <w:szCs w:val="24"/>
        </w:rPr>
        <w:t>incentive to</w:t>
      </w:r>
      <w:r w:rsidR="002511DD" w:rsidRPr="004C70A4">
        <w:rPr>
          <w:rFonts w:ascii="Times New Roman" w:hAnsi="Times New Roman"/>
          <w:sz w:val="24"/>
        </w:rPr>
        <w:t xml:space="preserve"> maximise the value of knowledge production, circulation and use</w:t>
      </w:r>
      <w:r w:rsidRPr="004C70A4">
        <w:rPr>
          <w:rFonts w:ascii="Times New Roman" w:hAnsi="Times New Roman"/>
          <w:sz w:val="24"/>
        </w:rPr>
        <w:t>.</w:t>
      </w:r>
      <w:r w:rsidRPr="004E416A">
        <w:rPr>
          <w:rFonts w:ascii="Times New Roman" w:hAnsi="Times New Roman" w:cs="Times New Roman"/>
          <w:sz w:val="24"/>
          <w:szCs w:val="24"/>
        </w:rPr>
        <w:t xml:space="preserve"> </w:t>
      </w:r>
    </w:p>
    <w:p w14:paraId="79B0253C" w14:textId="1D52E3E9" w:rsidR="006D7C0F" w:rsidRPr="006340BE" w:rsidRDefault="00437E56" w:rsidP="009E3399">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In 2008, the </w:t>
      </w:r>
      <w:r w:rsidR="003D7685" w:rsidRPr="006340BE">
        <w:rPr>
          <w:rFonts w:ascii="Times New Roman" w:hAnsi="Times New Roman" w:cs="Times New Roman"/>
          <w:color w:val="000000" w:themeColor="text1"/>
          <w:sz w:val="24"/>
          <w:szCs w:val="24"/>
        </w:rPr>
        <w:t xml:space="preserve">Commission issued a </w:t>
      </w:r>
      <w:r w:rsidR="008D26B0" w:rsidRPr="006340BE">
        <w:rPr>
          <w:rFonts w:ascii="Times New Roman" w:hAnsi="Times New Roman" w:cs="Times New Roman"/>
          <w:i/>
          <w:iCs/>
          <w:color w:val="000000" w:themeColor="text1"/>
          <w:sz w:val="24"/>
          <w:szCs w:val="24"/>
        </w:rPr>
        <w:t>recommendation</w:t>
      </w:r>
      <w:r w:rsidR="008D26B0" w:rsidRPr="006340BE">
        <w:rPr>
          <w:rFonts w:ascii="Times New Roman" w:hAnsi="Times New Roman" w:cs="Times New Roman"/>
          <w:color w:val="000000" w:themeColor="text1"/>
          <w:sz w:val="24"/>
          <w:szCs w:val="24"/>
        </w:rPr>
        <w:t xml:space="preserve"> </w:t>
      </w:r>
      <w:r w:rsidR="003D7685" w:rsidRPr="006340BE">
        <w:rPr>
          <w:rFonts w:ascii="Times New Roman" w:hAnsi="Times New Roman" w:cs="Times New Roman"/>
          <w:color w:val="000000" w:themeColor="text1"/>
          <w:sz w:val="24"/>
          <w:szCs w:val="24"/>
        </w:rPr>
        <w:t xml:space="preserve">on the management of intellectual property </w:t>
      </w:r>
      <w:r w:rsidR="00E90817" w:rsidRPr="006340BE">
        <w:rPr>
          <w:rFonts w:ascii="Times New Roman" w:hAnsi="Times New Roman" w:cs="Times New Roman"/>
          <w:color w:val="000000" w:themeColor="text1"/>
          <w:sz w:val="24"/>
          <w:szCs w:val="24"/>
        </w:rPr>
        <w:t xml:space="preserve">and </w:t>
      </w:r>
      <w:r w:rsidR="003D7685" w:rsidRPr="006340BE">
        <w:rPr>
          <w:rFonts w:ascii="Times New Roman" w:hAnsi="Times New Roman" w:cs="Times New Roman"/>
          <w:color w:val="000000" w:themeColor="text1"/>
          <w:sz w:val="24"/>
          <w:szCs w:val="24"/>
        </w:rPr>
        <w:t xml:space="preserve">knowledge transfer and a </w:t>
      </w:r>
      <w:r w:rsidR="008D26B0" w:rsidRPr="006340BE">
        <w:rPr>
          <w:rFonts w:ascii="Times New Roman" w:hAnsi="Times New Roman" w:cs="Times New Roman"/>
          <w:i/>
          <w:iCs/>
          <w:color w:val="000000" w:themeColor="text1"/>
          <w:sz w:val="24"/>
          <w:szCs w:val="24"/>
        </w:rPr>
        <w:t>c</w:t>
      </w:r>
      <w:r w:rsidR="003D7685" w:rsidRPr="006340BE">
        <w:rPr>
          <w:rFonts w:ascii="Times New Roman" w:hAnsi="Times New Roman" w:cs="Times New Roman"/>
          <w:i/>
          <w:iCs/>
          <w:color w:val="000000" w:themeColor="text1"/>
          <w:sz w:val="24"/>
          <w:szCs w:val="24"/>
        </w:rPr>
        <w:t xml:space="preserve">ode of </w:t>
      </w:r>
      <w:r w:rsidR="008D26B0" w:rsidRPr="006340BE">
        <w:rPr>
          <w:rFonts w:ascii="Times New Roman" w:hAnsi="Times New Roman" w:cs="Times New Roman"/>
          <w:i/>
          <w:iCs/>
          <w:color w:val="000000" w:themeColor="text1"/>
          <w:sz w:val="24"/>
          <w:szCs w:val="24"/>
        </w:rPr>
        <w:t>p</w:t>
      </w:r>
      <w:r w:rsidR="003D7685" w:rsidRPr="006340BE">
        <w:rPr>
          <w:rFonts w:ascii="Times New Roman" w:hAnsi="Times New Roman" w:cs="Times New Roman"/>
          <w:i/>
          <w:iCs/>
          <w:color w:val="000000" w:themeColor="text1"/>
          <w:sz w:val="24"/>
          <w:szCs w:val="24"/>
        </w:rPr>
        <w:t>ractice</w:t>
      </w:r>
      <w:r w:rsidR="003D7685" w:rsidRPr="006340BE">
        <w:rPr>
          <w:rFonts w:ascii="Times New Roman" w:hAnsi="Times New Roman" w:cs="Times New Roman"/>
          <w:color w:val="000000" w:themeColor="text1"/>
          <w:sz w:val="24"/>
          <w:szCs w:val="24"/>
        </w:rPr>
        <w:t xml:space="preserve"> for universities and other public research organisations. </w:t>
      </w:r>
      <w:r w:rsidR="00BC734B" w:rsidRPr="006340BE">
        <w:rPr>
          <w:rFonts w:ascii="Times New Roman" w:hAnsi="Times New Roman" w:cs="Times New Roman"/>
          <w:color w:val="000000" w:themeColor="text1"/>
          <w:sz w:val="24"/>
          <w:szCs w:val="24"/>
        </w:rPr>
        <w:t>In the current dynamic context, in order to achieve stronger impact</w:t>
      </w:r>
      <w:r w:rsidR="008D26B0" w:rsidRPr="006340BE">
        <w:rPr>
          <w:rFonts w:ascii="Times New Roman" w:hAnsi="Times New Roman" w:cs="Times New Roman"/>
          <w:color w:val="000000" w:themeColor="text1"/>
          <w:sz w:val="24"/>
          <w:szCs w:val="24"/>
        </w:rPr>
        <w:t>,</w:t>
      </w:r>
      <w:r w:rsidR="00BC734B" w:rsidRPr="006340BE">
        <w:rPr>
          <w:rFonts w:ascii="Times New Roman" w:hAnsi="Times New Roman" w:cs="Times New Roman"/>
          <w:color w:val="000000" w:themeColor="text1"/>
          <w:sz w:val="24"/>
          <w:szCs w:val="24"/>
        </w:rPr>
        <w:t xml:space="preserve"> </w:t>
      </w:r>
      <w:r w:rsidR="008D26B0" w:rsidRPr="006340BE">
        <w:rPr>
          <w:rFonts w:ascii="Times New Roman" w:hAnsi="Times New Roman" w:cs="Times New Roman"/>
          <w:color w:val="000000" w:themeColor="text1"/>
          <w:sz w:val="24"/>
          <w:szCs w:val="24"/>
        </w:rPr>
        <w:t>the Commission</w:t>
      </w:r>
      <w:r w:rsidR="000968AD" w:rsidRPr="006340BE">
        <w:rPr>
          <w:rFonts w:ascii="Times New Roman" w:hAnsi="Times New Roman" w:cs="Times New Roman"/>
          <w:color w:val="000000" w:themeColor="text1"/>
          <w:sz w:val="24"/>
          <w:szCs w:val="24"/>
        </w:rPr>
        <w:t xml:space="preserve"> in consultation with Member States and stakeholders</w:t>
      </w:r>
      <w:r w:rsidR="008D26B0" w:rsidRPr="006340BE">
        <w:rPr>
          <w:rFonts w:ascii="Times New Roman" w:hAnsi="Times New Roman" w:cs="Times New Roman"/>
          <w:color w:val="000000" w:themeColor="text1"/>
          <w:sz w:val="24"/>
          <w:szCs w:val="24"/>
        </w:rPr>
        <w:t xml:space="preserve"> will</w:t>
      </w:r>
      <w:r w:rsidR="003A6B6B" w:rsidRPr="006340BE">
        <w:rPr>
          <w:rFonts w:ascii="Times New Roman" w:hAnsi="Times New Roman" w:cs="Times New Roman"/>
          <w:color w:val="000000" w:themeColor="text1"/>
          <w:sz w:val="24"/>
          <w:szCs w:val="24"/>
        </w:rPr>
        <w:t xml:space="preserve"> </w:t>
      </w:r>
      <w:r w:rsidR="00BC734B" w:rsidRPr="006340BE">
        <w:rPr>
          <w:rFonts w:ascii="Times New Roman" w:hAnsi="Times New Roman" w:cs="Times New Roman"/>
          <w:color w:val="000000" w:themeColor="text1"/>
          <w:sz w:val="24"/>
          <w:szCs w:val="24"/>
        </w:rPr>
        <w:t>update</w:t>
      </w:r>
      <w:r w:rsidR="008D26B0" w:rsidRPr="006340BE">
        <w:rPr>
          <w:rFonts w:ascii="Times New Roman" w:hAnsi="Times New Roman" w:cs="Times New Roman"/>
          <w:color w:val="000000" w:themeColor="text1"/>
          <w:sz w:val="24"/>
          <w:szCs w:val="24"/>
        </w:rPr>
        <w:t xml:space="preserve"> </w:t>
      </w:r>
      <w:r w:rsidR="000968AD" w:rsidRPr="006340BE">
        <w:rPr>
          <w:rFonts w:ascii="Times New Roman" w:hAnsi="Times New Roman" w:cs="Times New Roman"/>
          <w:color w:val="000000" w:themeColor="text1"/>
          <w:sz w:val="24"/>
          <w:szCs w:val="24"/>
        </w:rPr>
        <w:t xml:space="preserve">these guidance documents </w:t>
      </w:r>
      <w:r w:rsidR="008D26B0" w:rsidRPr="006340BE">
        <w:rPr>
          <w:rFonts w:ascii="Times New Roman" w:hAnsi="Times New Roman" w:cs="Times New Roman"/>
          <w:color w:val="000000" w:themeColor="text1"/>
          <w:sz w:val="24"/>
          <w:szCs w:val="24"/>
        </w:rPr>
        <w:t xml:space="preserve">to support a </w:t>
      </w:r>
      <w:r w:rsidR="003A6B6B" w:rsidRPr="006340BE">
        <w:rPr>
          <w:rFonts w:ascii="Times New Roman" w:hAnsi="Times New Roman" w:cs="Times New Roman"/>
          <w:color w:val="000000" w:themeColor="text1"/>
          <w:sz w:val="24"/>
          <w:szCs w:val="24"/>
        </w:rPr>
        <w:t xml:space="preserve">common valorisation strategy </w:t>
      </w:r>
      <w:r w:rsidR="008D26B0" w:rsidRPr="006340BE">
        <w:rPr>
          <w:rFonts w:ascii="Times New Roman" w:hAnsi="Times New Roman" w:cs="Times New Roman"/>
          <w:color w:val="000000" w:themeColor="text1"/>
          <w:sz w:val="24"/>
          <w:szCs w:val="24"/>
        </w:rPr>
        <w:t>for research and innovation</w:t>
      </w:r>
      <w:r w:rsidR="003A6B6B" w:rsidRPr="006340BE">
        <w:rPr>
          <w:rFonts w:ascii="Times New Roman" w:hAnsi="Times New Roman" w:cs="Times New Roman"/>
          <w:color w:val="000000" w:themeColor="text1"/>
          <w:sz w:val="24"/>
          <w:szCs w:val="24"/>
        </w:rPr>
        <w:t xml:space="preserve"> </w:t>
      </w:r>
      <w:r w:rsidR="008D26B0" w:rsidRPr="006340BE">
        <w:rPr>
          <w:rFonts w:ascii="Times New Roman" w:hAnsi="Times New Roman" w:cs="Times New Roman"/>
          <w:color w:val="000000" w:themeColor="text1"/>
          <w:sz w:val="24"/>
          <w:szCs w:val="24"/>
        </w:rPr>
        <w:t xml:space="preserve">based on existing </w:t>
      </w:r>
      <w:r w:rsidR="003A6B6B" w:rsidRPr="006340BE">
        <w:rPr>
          <w:rFonts w:ascii="Times New Roman" w:hAnsi="Times New Roman" w:cs="Times New Roman"/>
          <w:color w:val="000000" w:themeColor="text1"/>
          <w:sz w:val="24"/>
          <w:szCs w:val="24"/>
        </w:rPr>
        <w:t>good practice</w:t>
      </w:r>
      <w:r w:rsidR="008D26B0" w:rsidRPr="006340BE">
        <w:rPr>
          <w:rFonts w:ascii="Times New Roman" w:hAnsi="Times New Roman" w:cs="Times New Roman"/>
          <w:color w:val="000000" w:themeColor="text1"/>
          <w:sz w:val="24"/>
          <w:szCs w:val="24"/>
        </w:rPr>
        <w:t>s</w:t>
      </w:r>
      <w:r w:rsidRPr="006340BE">
        <w:rPr>
          <w:rFonts w:ascii="Times New Roman" w:hAnsi="Times New Roman" w:cs="Times New Roman"/>
          <w:color w:val="000000" w:themeColor="text1"/>
          <w:sz w:val="24"/>
          <w:szCs w:val="24"/>
        </w:rPr>
        <w:t>, including with respect to public procurement. As announced in the March 2020 Industrial Strategy for Europe</w:t>
      </w:r>
      <w:r w:rsidRPr="006340BE">
        <w:rPr>
          <w:rStyle w:val="FootnoteReference"/>
          <w:rFonts w:ascii="Times New Roman" w:hAnsi="Times New Roman" w:cs="Times New Roman"/>
          <w:color w:val="000000" w:themeColor="text1"/>
          <w:sz w:val="24"/>
          <w:szCs w:val="24"/>
        </w:rPr>
        <w:footnoteReference w:id="43"/>
      </w:r>
      <w:r w:rsidRPr="006340BE">
        <w:rPr>
          <w:rFonts w:ascii="Times New Roman" w:hAnsi="Times New Roman" w:cs="Times New Roman"/>
          <w:color w:val="000000" w:themeColor="text1"/>
          <w:sz w:val="24"/>
          <w:szCs w:val="24"/>
        </w:rPr>
        <w:t>, further actions to improve the management of intellectual property by the research community will be provided in the upcoming Intellectual Property Action Plan.</w:t>
      </w:r>
    </w:p>
    <w:p w14:paraId="50FC4AE4" w14:textId="28A19022" w:rsidR="006D7C0F" w:rsidRPr="006340BE" w:rsidRDefault="006D7C0F" w:rsidP="009E3399">
      <w:pPr>
        <w:pStyle w:val="PlainText"/>
        <w:spacing w:before="120"/>
        <w:rPr>
          <w:rFonts w:ascii="Times New Roman" w:hAnsi="Times New Roman" w:cs="Times New Roman"/>
          <w:color w:val="000000" w:themeColor="text1"/>
          <w:sz w:val="24"/>
          <w:szCs w:val="24"/>
          <w:lang w:eastAsia="en-US"/>
        </w:rPr>
      </w:pPr>
      <w:r w:rsidRPr="006340BE">
        <w:rPr>
          <w:rFonts w:ascii="Times New Roman" w:hAnsi="Times New Roman" w:cs="Times New Roman"/>
          <w:color w:val="000000" w:themeColor="text1"/>
          <w:sz w:val="24"/>
          <w:szCs w:val="24"/>
          <w:lang w:eastAsia="en-US"/>
        </w:rPr>
        <w:t xml:space="preserve">EU business should have access to effective and affordable intellectual property protection throughout the continent so that innovation can be </w:t>
      </w:r>
      <w:r w:rsidR="009E3399" w:rsidRPr="006340BE">
        <w:rPr>
          <w:rFonts w:ascii="Times New Roman" w:hAnsi="Times New Roman" w:cs="Times New Roman"/>
          <w:color w:val="000000" w:themeColor="text1"/>
          <w:sz w:val="24"/>
          <w:szCs w:val="24"/>
          <w:lang w:eastAsia="en-US"/>
        </w:rPr>
        <w:t>valorised</w:t>
      </w:r>
      <w:r w:rsidRPr="006340BE">
        <w:rPr>
          <w:rFonts w:ascii="Times New Roman" w:hAnsi="Times New Roman" w:cs="Times New Roman"/>
          <w:color w:val="000000" w:themeColor="text1"/>
          <w:sz w:val="24"/>
          <w:szCs w:val="24"/>
          <w:lang w:eastAsia="en-US"/>
        </w:rPr>
        <w:t xml:space="preserve"> and rewarded. In this context, the forthcoming launch of the </w:t>
      </w:r>
      <w:proofErr w:type="gramStart"/>
      <w:r w:rsidRPr="006340BE">
        <w:rPr>
          <w:rFonts w:ascii="Times New Roman" w:hAnsi="Times New Roman" w:cs="Times New Roman"/>
          <w:color w:val="000000" w:themeColor="text1"/>
          <w:sz w:val="24"/>
          <w:szCs w:val="24"/>
          <w:lang w:eastAsia="en-US"/>
        </w:rPr>
        <w:t>Unitary</w:t>
      </w:r>
      <w:proofErr w:type="gramEnd"/>
      <w:r w:rsidRPr="006340BE">
        <w:rPr>
          <w:rFonts w:ascii="Times New Roman" w:hAnsi="Times New Roman" w:cs="Times New Roman"/>
          <w:color w:val="000000" w:themeColor="text1"/>
          <w:sz w:val="24"/>
          <w:szCs w:val="24"/>
          <w:lang w:eastAsia="en-US"/>
        </w:rPr>
        <w:t xml:space="preserve"> patent will be an important milestone. Putting an end to fragmentation and complexity, the Unitary patent will provide a one-stop shop for businesses, reducing costs for up to six times compared to the existing, Member State per Member State-based system (1). It will also improve transparency and facilitate licensing process </w:t>
      </w:r>
      <w:proofErr w:type="gramStart"/>
      <w:r w:rsidRPr="006340BE">
        <w:rPr>
          <w:rFonts w:ascii="Times New Roman" w:hAnsi="Times New Roman" w:cs="Times New Roman"/>
          <w:color w:val="000000" w:themeColor="text1"/>
          <w:sz w:val="24"/>
          <w:szCs w:val="24"/>
          <w:lang w:eastAsia="en-US"/>
        </w:rPr>
        <w:t>It</w:t>
      </w:r>
      <w:proofErr w:type="gramEnd"/>
      <w:r w:rsidRPr="006340BE">
        <w:rPr>
          <w:rFonts w:ascii="Times New Roman" w:hAnsi="Times New Roman" w:cs="Times New Roman"/>
          <w:color w:val="000000" w:themeColor="text1"/>
          <w:sz w:val="24"/>
          <w:szCs w:val="24"/>
          <w:lang w:eastAsia="en-US"/>
        </w:rPr>
        <w:t xml:space="preserve"> will also provide for a centrali</w:t>
      </w:r>
      <w:r w:rsidR="001A2B70">
        <w:rPr>
          <w:rFonts w:ascii="Times New Roman" w:hAnsi="Times New Roman" w:cs="Times New Roman"/>
          <w:color w:val="000000" w:themeColor="text1"/>
          <w:sz w:val="24"/>
          <w:szCs w:val="24"/>
          <w:lang w:eastAsia="en-US"/>
        </w:rPr>
        <w:t>s</w:t>
      </w:r>
      <w:r w:rsidRPr="006340BE">
        <w:rPr>
          <w:rFonts w:ascii="Times New Roman" w:hAnsi="Times New Roman" w:cs="Times New Roman"/>
          <w:color w:val="000000" w:themeColor="text1"/>
          <w:sz w:val="24"/>
          <w:szCs w:val="24"/>
          <w:lang w:eastAsia="en-US"/>
        </w:rPr>
        <w:t>ed litigation system, thanks to the new Unified Patent Court.</w:t>
      </w:r>
    </w:p>
    <w:p w14:paraId="0E547B7D" w14:textId="51450BF5" w:rsidR="003D7685" w:rsidRPr="007A78F6" w:rsidRDefault="006D7C0F" w:rsidP="00F47063">
      <w:pPr>
        <w:keepNext/>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highlight w:val="yellow"/>
        </w:rPr>
      </w:pPr>
      <w:r w:rsidRPr="006340BE" w:rsidDel="006D7C0F">
        <w:rPr>
          <w:rFonts w:ascii="Times New Roman" w:hAnsi="Times New Roman" w:cs="Times New Roman"/>
          <w:color w:val="000000" w:themeColor="text1"/>
          <w:sz w:val="24"/>
          <w:szCs w:val="24"/>
        </w:rPr>
        <w:t xml:space="preserve"> </w:t>
      </w:r>
      <w:r w:rsidR="003D7685" w:rsidRPr="007A78F6">
        <w:rPr>
          <w:rFonts w:ascii="Times New Roman" w:hAnsi="Times New Roman" w:cs="Times New Roman"/>
          <w:color w:val="000000" w:themeColor="text1"/>
          <w:sz w:val="24"/>
          <w:szCs w:val="24"/>
          <w:highlight w:val="yellow"/>
        </w:rPr>
        <w:t>The Commission will:</w:t>
      </w:r>
    </w:p>
    <w:p w14:paraId="0769F89A" w14:textId="32AB60FD" w:rsidR="003D7685" w:rsidRPr="007A78F6" w:rsidRDefault="002511DD" w:rsidP="002511DD">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contextualSpacing w:val="0"/>
        <w:jc w:val="both"/>
        <w:rPr>
          <w:rFonts w:ascii="Times New Roman" w:hAnsi="Times New Roman" w:cs="Times New Roman"/>
          <w:color w:val="000000" w:themeColor="text1"/>
          <w:sz w:val="24"/>
          <w:szCs w:val="24"/>
          <w:highlight w:val="yellow"/>
        </w:rPr>
      </w:pPr>
      <w:r w:rsidRPr="007A78F6">
        <w:rPr>
          <w:rFonts w:ascii="Times New Roman" w:hAnsi="Times New Roman" w:cs="Times New Roman"/>
          <w:color w:val="000000" w:themeColor="text1"/>
          <w:sz w:val="24"/>
          <w:szCs w:val="24"/>
          <w:highlight w:val="yellow"/>
        </w:rPr>
        <w:t>Develop and test a</w:t>
      </w:r>
      <w:r w:rsidR="00123DEA" w:rsidRPr="007A78F6">
        <w:rPr>
          <w:rFonts w:ascii="Times New Roman" w:hAnsi="Times New Roman" w:cs="Times New Roman"/>
          <w:color w:val="000000" w:themeColor="text1"/>
          <w:sz w:val="24"/>
          <w:szCs w:val="24"/>
          <w:highlight w:val="yellow"/>
        </w:rPr>
        <w:t xml:space="preserve"> networking framework </w:t>
      </w:r>
      <w:r w:rsidRPr="007A78F6">
        <w:rPr>
          <w:rFonts w:ascii="Times New Roman" w:hAnsi="Times New Roman" w:cs="Times New Roman"/>
          <w:color w:val="000000" w:themeColor="text1"/>
          <w:sz w:val="24"/>
          <w:szCs w:val="24"/>
          <w:highlight w:val="yellow"/>
        </w:rPr>
        <w:t>in support of Europe’s R&amp;I ecosystems, building on existing capacities, in order to strengthen excellence and maximise the value of knowledge creation, circulation and use by 2022.</w:t>
      </w:r>
      <w:r w:rsidR="0081737C" w:rsidRPr="007A78F6">
        <w:rPr>
          <w:rFonts w:ascii="Times New Roman" w:hAnsi="Times New Roman" w:cs="Times New Roman"/>
          <w:color w:val="000000" w:themeColor="text1"/>
          <w:sz w:val="24"/>
          <w:szCs w:val="24"/>
          <w:highlight w:val="yellow"/>
        </w:rPr>
        <w:t xml:space="preserve"> </w:t>
      </w:r>
    </w:p>
    <w:p w14:paraId="01FC59F5" w14:textId="104C0D8B" w:rsidR="006D7C0F" w:rsidRPr="007A78F6" w:rsidRDefault="006D7C0F" w:rsidP="006D7C0F">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contextualSpacing w:val="0"/>
        <w:jc w:val="both"/>
        <w:rPr>
          <w:rFonts w:ascii="Times New Roman" w:hAnsi="Times New Roman" w:cs="Times New Roman"/>
          <w:color w:val="000000" w:themeColor="text1"/>
          <w:sz w:val="24"/>
          <w:szCs w:val="24"/>
          <w:highlight w:val="yellow"/>
        </w:rPr>
      </w:pPr>
      <w:r w:rsidRPr="007A78F6">
        <w:rPr>
          <w:rFonts w:ascii="Times New Roman" w:hAnsi="Times New Roman" w:cs="Times New Roman"/>
          <w:color w:val="000000" w:themeColor="text1"/>
          <w:sz w:val="24"/>
          <w:szCs w:val="24"/>
          <w:highlight w:val="yellow"/>
        </w:rPr>
        <w:t xml:space="preserve">Update and develop guiding principles for knowledge valorisation and a code of practice for the smart use of intellectual property, </w:t>
      </w:r>
      <w:r w:rsidR="00A85F29" w:rsidRPr="007A78F6">
        <w:rPr>
          <w:rFonts w:ascii="Times New Roman" w:hAnsi="Times New Roman" w:cs="Times New Roman"/>
          <w:color w:val="000000" w:themeColor="text1"/>
          <w:sz w:val="24"/>
          <w:szCs w:val="24"/>
          <w:highlight w:val="yellow"/>
        </w:rPr>
        <w:t xml:space="preserve">by </w:t>
      </w:r>
      <w:r w:rsidR="003D627F" w:rsidRPr="007A78F6">
        <w:rPr>
          <w:rFonts w:ascii="Times New Roman" w:hAnsi="Times New Roman" w:cs="Times New Roman"/>
          <w:color w:val="000000" w:themeColor="text1"/>
          <w:sz w:val="24"/>
          <w:szCs w:val="24"/>
          <w:highlight w:val="yellow"/>
        </w:rPr>
        <w:t xml:space="preserve">the </w:t>
      </w:r>
      <w:r w:rsidR="00A85F29" w:rsidRPr="007A78F6">
        <w:rPr>
          <w:rFonts w:ascii="Times New Roman" w:hAnsi="Times New Roman" w:cs="Times New Roman"/>
          <w:color w:val="000000" w:themeColor="text1"/>
          <w:sz w:val="24"/>
          <w:szCs w:val="24"/>
          <w:highlight w:val="yellow"/>
        </w:rPr>
        <w:t xml:space="preserve">end </w:t>
      </w:r>
      <w:r w:rsidR="003D627F" w:rsidRPr="007A78F6">
        <w:rPr>
          <w:rFonts w:ascii="Times New Roman" w:hAnsi="Times New Roman" w:cs="Times New Roman"/>
          <w:color w:val="000000" w:themeColor="text1"/>
          <w:sz w:val="24"/>
          <w:szCs w:val="24"/>
          <w:highlight w:val="yellow"/>
        </w:rPr>
        <w:t xml:space="preserve">of </w:t>
      </w:r>
      <w:r w:rsidR="00A85F29" w:rsidRPr="007A78F6">
        <w:rPr>
          <w:rFonts w:ascii="Times New Roman" w:hAnsi="Times New Roman" w:cs="Times New Roman"/>
          <w:color w:val="000000" w:themeColor="text1"/>
          <w:sz w:val="24"/>
          <w:szCs w:val="24"/>
          <w:highlight w:val="yellow"/>
        </w:rPr>
        <w:t xml:space="preserve">2022, </w:t>
      </w:r>
      <w:r w:rsidRPr="007A78F6">
        <w:rPr>
          <w:rFonts w:ascii="Times New Roman" w:hAnsi="Times New Roman" w:cs="Times New Roman"/>
          <w:color w:val="000000" w:themeColor="text1"/>
          <w:sz w:val="24"/>
          <w:szCs w:val="24"/>
          <w:highlight w:val="yellow"/>
        </w:rPr>
        <w:t>including facilitating the implementation of the unitary patent, to ensure access to effective and affordable intellectual property protection.</w:t>
      </w:r>
    </w:p>
    <w:p w14:paraId="0772DE87" w14:textId="25D24E3D" w:rsidR="009906A4" w:rsidRPr="006340BE" w:rsidRDefault="003D7685" w:rsidP="008F1A23">
      <w:pPr>
        <w:pStyle w:val="ListParagraph"/>
        <w:keepNext/>
        <w:numPr>
          <w:ilvl w:val="1"/>
          <w:numId w:val="1"/>
        </w:numPr>
        <w:spacing w:before="240" w:after="0" w:line="240" w:lineRule="auto"/>
        <w:ind w:left="357" w:hanging="357"/>
        <w:contextualSpacing w:val="0"/>
        <w:jc w:val="both"/>
        <w:rPr>
          <w:rFonts w:ascii="Times New Roman" w:hAnsi="Times New Roman" w:cs="Times New Roman"/>
          <w:b/>
          <w:color w:val="000000" w:themeColor="text1"/>
          <w:sz w:val="24"/>
          <w:szCs w:val="24"/>
          <w:u w:val="single"/>
        </w:rPr>
      </w:pPr>
      <w:r w:rsidRPr="006340BE">
        <w:rPr>
          <w:rFonts w:ascii="Times New Roman" w:hAnsi="Times New Roman" w:cs="Times New Roman"/>
          <w:b/>
          <w:color w:val="000000" w:themeColor="text1"/>
          <w:sz w:val="24"/>
          <w:szCs w:val="24"/>
          <w:u w:val="single"/>
        </w:rPr>
        <w:lastRenderedPageBreak/>
        <w:t>Deepening the ERA</w:t>
      </w:r>
    </w:p>
    <w:p w14:paraId="7287472A" w14:textId="77777777" w:rsidR="00CA5120" w:rsidRPr="006340BE" w:rsidRDefault="00407326" w:rsidP="008F1A23">
      <w:pPr>
        <w:keepNext/>
        <w:spacing w:before="120" w:after="0" w:line="240" w:lineRule="auto"/>
        <w:jc w:val="both"/>
        <w:rPr>
          <w:rFonts w:ascii="Times New Roman" w:hAnsi="Times New Roman"/>
          <w:color w:val="000000" w:themeColor="text1"/>
          <w:sz w:val="24"/>
          <w:u w:val="single"/>
        </w:rPr>
      </w:pPr>
      <w:r w:rsidRPr="006340BE">
        <w:rPr>
          <w:rFonts w:ascii="Times New Roman" w:hAnsi="Times New Roman"/>
          <w:color w:val="000000" w:themeColor="text1"/>
          <w:sz w:val="24"/>
          <w:u w:val="single"/>
        </w:rPr>
        <w:t>A European Framework for Research Careers</w:t>
      </w:r>
      <w:r w:rsidR="000C5938" w:rsidRPr="006340BE">
        <w:rPr>
          <w:rStyle w:val="FootnoteReference"/>
          <w:rFonts w:ascii="Times New Roman" w:hAnsi="Times New Roman"/>
          <w:color w:val="000000" w:themeColor="text1"/>
          <w:sz w:val="24"/>
          <w:u w:val="single"/>
        </w:rPr>
        <w:footnoteReference w:id="44"/>
      </w:r>
      <w:r w:rsidR="00CA5120" w:rsidRPr="006340BE">
        <w:rPr>
          <w:rFonts w:ascii="Times New Roman" w:hAnsi="Times New Roman"/>
          <w:color w:val="000000" w:themeColor="text1"/>
          <w:sz w:val="24"/>
          <w:u w:val="single"/>
        </w:rPr>
        <w:t xml:space="preserve"> </w:t>
      </w:r>
    </w:p>
    <w:p w14:paraId="0EBCEE78" w14:textId="3F1E7F55" w:rsidR="00BE2D92" w:rsidRPr="006340BE" w:rsidRDefault="00104216">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Career development conditions to attract and retain the best </w:t>
      </w:r>
      <w:r w:rsidR="00395960" w:rsidRPr="006340BE">
        <w:rPr>
          <w:rFonts w:ascii="Times New Roman" w:hAnsi="Times New Roman" w:cs="Times New Roman"/>
          <w:color w:val="000000" w:themeColor="text1"/>
          <w:sz w:val="24"/>
          <w:szCs w:val="24"/>
        </w:rPr>
        <w:t xml:space="preserve">researchers </w:t>
      </w:r>
      <w:r w:rsidRPr="006340BE">
        <w:rPr>
          <w:rFonts w:ascii="Times New Roman" w:hAnsi="Times New Roman" w:cs="Times New Roman"/>
          <w:color w:val="000000" w:themeColor="text1"/>
          <w:sz w:val="24"/>
          <w:szCs w:val="24"/>
        </w:rPr>
        <w:t xml:space="preserve">in Europe are necessary in the global race for talent. Precarious employment, notably for </w:t>
      </w:r>
      <w:r w:rsidR="00395960" w:rsidRPr="006340BE">
        <w:rPr>
          <w:rFonts w:ascii="Times New Roman" w:hAnsi="Times New Roman" w:cs="Times New Roman"/>
          <w:color w:val="000000" w:themeColor="text1"/>
          <w:sz w:val="24"/>
          <w:szCs w:val="24"/>
        </w:rPr>
        <w:t>new entrants</w:t>
      </w:r>
      <w:r w:rsidRPr="006340BE">
        <w:rPr>
          <w:rFonts w:ascii="Times New Roman" w:hAnsi="Times New Roman" w:cs="Times New Roman"/>
          <w:color w:val="000000" w:themeColor="text1"/>
          <w:sz w:val="24"/>
          <w:szCs w:val="24"/>
        </w:rPr>
        <w:t xml:space="preserve">, </w:t>
      </w:r>
      <w:r w:rsidR="005901EA" w:rsidRPr="006340BE">
        <w:rPr>
          <w:rFonts w:ascii="Times New Roman" w:hAnsi="Times New Roman" w:cs="Times New Roman"/>
          <w:color w:val="000000" w:themeColor="text1"/>
          <w:sz w:val="24"/>
          <w:szCs w:val="24"/>
        </w:rPr>
        <w:t xml:space="preserve">has </w:t>
      </w:r>
      <w:r w:rsidR="00BC734B" w:rsidRPr="006340BE">
        <w:rPr>
          <w:rFonts w:ascii="Times New Roman" w:hAnsi="Times New Roman" w:cs="Times New Roman"/>
          <w:color w:val="000000" w:themeColor="text1"/>
          <w:sz w:val="24"/>
          <w:szCs w:val="24"/>
        </w:rPr>
        <w:t xml:space="preserve">not </w:t>
      </w:r>
      <w:r w:rsidRPr="006340BE">
        <w:rPr>
          <w:rFonts w:ascii="Times New Roman" w:hAnsi="Times New Roman" w:cs="Times New Roman"/>
          <w:color w:val="000000" w:themeColor="text1"/>
          <w:sz w:val="24"/>
          <w:szCs w:val="24"/>
        </w:rPr>
        <w:t xml:space="preserve">improved </w:t>
      </w:r>
      <w:r w:rsidR="00BC734B" w:rsidRPr="006340BE">
        <w:rPr>
          <w:rFonts w:ascii="Times New Roman" w:hAnsi="Times New Roman" w:cs="Times New Roman"/>
          <w:color w:val="000000" w:themeColor="text1"/>
          <w:sz w:val="24"/>
          <w:szCs w:val="24"/>
        </w:rPr>
        <w:t xml:space="preserve">adequately </w:t>
      </w:r>
      <w:r w:rsidRPr="006340BE">
        <w:rPr>
          <w:rFonts w:ascii="Times New Roman" w:hAnsi="Times New Roman" w:cs="Times New Roman"/>
          <w:color w:val="000000" w:themeColor="text1"/>
          <w:sz w:val="24"/>
          <w:szCs w:val="24"/>
        </w:rPr>
        <w:t>over the past years</w:t>
      </w:r>
      <w:r w:rsidR="00BE2D92" w:rsidRPr="006340BE">
        <w:rPr>
          <w:rFonts w:ascii="Times New Roman" w:hAnsi="Times New Roman" w:cs="Times New Roman"/>
          <w:color w:val="000000" w:themeColor="text1"/>
          <w:sz w:val="24"/>
          <w:szCs w:val="24"/>
        </w:rPr>
        <w:t xml:space="preserve"> increasing the risk that</w:t>
      </w:r>
      <w:r w:rsidRPr="006340BE">
        <w:rPr>
          <w:rFonts w:ascii="Times New Roman" w:hAnsi="Times New Roman" w:cs="Times New Roman"/>
          <w:color w:val="000000" w:themeColor="text1"/>
          <w:sz w:val="24"/>
          <w:szCs w:val="24"/>
        </w:rPr>
        <w:t xml:space="preserve"> most talented </w:t>
      </w:r>
      <w:r w:rsidR="00395960" w:rsidRPr="006340BE">
        <w:rPr>
          <w:rFonts w:ascii="Times New Roman" w:hAnsi="Times New Roman" w:cs="Times New Roman"/>
          <w:color w:val="000000" w:themeColor="text1"/>
          <w:sz w:val="24"/>
          <w:szCs w:val="24"/>
        </w:rPr>
        <w:t xml:space="preserve">researchers </w:t>
      </w:r>
      <w:r w:rsidRPr="006340BE">
        <w:rPr>
          <w:rFonts w:ascii="Times New Roman" w:hAnsi="Times New Roman" w:cs="Times New Roman"/>
          <w:color w:val="000000" w:themeColor="text1"/>
          <w:sz w:val="24"/>
          <w:szCs w:val="24"/>
        </w:rPr>
        <w:t xml:space="preserve">opt for </w:t>
      </w:r>
      <w:r w:rsidR="00395960" w:rsidRPr="006340BE">
        <w:rPr>
          <w:rFonts w:ascii="Times New Roman" w:hAnsi="Times New Roman" w:cs="Times New Roman"/>
          <w:color w:val="000000" w:themeColor="text1"/>
          <w:sz w:val="24"/>
          <w:szCs w:val="24"/>
        </w:rPr>
        <w:t>working</w:t>
      </w:r>
      <w:r w:rsidR="00BE2D92" w:rsidRPr="006340BE">
        <w:rPr>
          <w:rFonts w:ascii="Times New Roman" w:hAnsi="Times New Roman" w:cs="Times New Roman"/>
          <w:color w:val="000000" w:themeColor="text1"/>
          <w:sz w:val="24"/>
          <w:szCs w:val="24"/>
        </w:rPr>
        <w:t xml:space="preserve"> outside Europe</w:t>
      </w:r>
      <w:r w:rsidRPr="006340BE">
        <w:rPr>
          <w:rFonts w:ascii="Times New Roman" w:hAnsi="Times New Roman" w:cs="Times New Roman"/>
          <w:color w:val="000000" w:themeColor="text1"/>
          <w:sz w:val="24"/>
          <w:szCs w:val="24"/>
        </w:rPr>
        <w:t xml:space="preserve">. </w:t>
      </w:r>
    </w:p>
    <w:p w14:paraId="011521DA" w14:textId="73B49F7A" w:rsidR="00104216" w:rsidRPr="006340BE" w:rsidRDefault="00B0619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T</w:t>
      </w:r>
      <w:r w:rsidR="00BE2D92" w:rsidRPr="006340BE">
        <w:rPr>
          <w:rFonts w:ascii="Times New Roman" w:hAnsi="Times New Roman" w:cs="Times New Roman"/>
          <w:color w:val="000000" w:themeColor="text1"/>
          <w:sz w:val="24"/>
          <w:szCs w:val="24"/>
        </w:rPr>
        <w:t>he i</w:t>
      </w:r>
      <w:r w:rsidR="00104216" w:rsidRPr="006340BE">
        <w:rPr>
          <w:rFonts w:ascii="Times New Roman" w:hAnsi="Times New Roman" w:cs="Times New Roman"/>
          <w:color w:val="000000" w:themeColor="text1"/>
          <w:sz w:val="24"/>
          <w:szCs w:val="24"/>
        </w:rPr>
        <w:t>mbalances between the number of PhD graduates and the number of tenure track positions</w:t>
      </w:r>
      <w:r w:rsidRPr="006340BE">
        <w:rPr>
          <w:rFonts w:ascii="Times New Roman" w:hAnsi="Times New Roman" w:cs="Times New Roman"/>
          <w:color w:val="000000" w:themeColor="text1"/>
          <w:sz w:val="24"/>
          <w:szCs w:val="24"/>
        </w:rPr>
        <w:t xml:space="preserve"> in the public science systems</w:t>
      </w:r>
      <w:r w:rsidR="003B067D" w:rsidRPr="006340BE">
        <w:rPr>
          <w:rFonts w:ascii="Times New Roman" w:hAnsi="Times New Roman" w:cs="Times New Roman"/>
          <w:color w:val="000000" w:themeColor="text1"/>
          <w:sz w:val="24"/>
          <w:szCs w:val="24"/>
        </w:rPr>
        <w:t xml:space="preserve"> </w:t>
      </w:r>
      <w:r w:rsidR="00BE2D92" w:rsidRPr="006340BE">
        <w:rPr>
          <w:rFonts w:ascii="Times New Roman" w:hAnsi="Times New Roman" w:cs="Times New Roman"/>
          <w:color w:val="000000" w:themeColor="text1"/>
          <w:sz w:val="24"/>
          <w:szCs w:val="24"/>
        </w:rPr>
        <w:t>are an obstacle for</w:t>
      </w:r>
      <w:r w:rsidR="003B067D" w:rsidRPr="006340BE">
        <w:rPr>
          <w:rFonts w:ascii="Times New Roman" w:hAnsi="Times New Roman" w:cs="Times New Roman"/>
          <w:color w:val="000000" w:themeColor="text1"/>
          <w:sz w:val="24"/>
          <w:szCs w:val="24"/>
        </w:rPr>
        <w:t xml:space="preserve"> retaining talent</w:t>
      </w:r>
      <w:r w:rsidR="00395960" w:rsidRPr="006340BE">
        <w:rPr>
          <w:rFonts w:ascii="Times New Roman" w:hAnsi="Times New Roman" w:cs="Times New Roman"/>
          <w:color w:val="000000" w:themeColor="text1"/>
          <w:sz w:val="24"/>
          <w:szCs w:val="24"/>
        </w:rPr>
        <w:t>. T</w:t>
      </w:r>
      <w:r w:rsidR="003B067D" w:rsidRPr="006340BE">
        <w:rPr>
          <w:rFonts w:ascii="Times New Roman" w:hAnsi="Times New Roman" w:cs="Times New Roman"/>
          <w:color w:val="000000" w:themeColor="text1"/>
          <w:sz w:val="24"/>
          <w:szCs w:val="24"/>
        </w:rPr>
        <w:t xml:space="preserve">raining and career development of researchers insufficiently focusses on entrepreneurship or </w:t>
      </w:r>
      <w:r w:rsidR="00B05D11" w:rsidRPr="006340BE">
        <w:rPr>
          <w:rFonts w:ascii="Times New Roman" w:hAnsi="Times New Roman" w:cs="Times New Roman"/>
          <w:color w:val="000000" w:themeColor="text1"/>
          <w:sz w:val="24"/>
          <w:szCs w:val="24"/>
        </w:rPr>
        <w:t>opportunities</w:t>
      </w:r>
      <w:r w:rsidR="003B067D" w:rsidRPr="006340BE">
        <w:rPr>
          <w:rFonts w:ascii="Times New Roman" w:hAnsi="Times New Roman" w:cs="Times New Roman"/>
          <w:color w:val="000000" w:themeColor="text1"/>
          <w:sz w:val="24"/>
          <w:szCs w:val="24"/>
        </w:rPr>
        <w:t xml:space="preserve"> outside academia</w:t>
      </w:r>
      <w:r w:rsidR="00B05D11" w:rsidRPr="006340BE">
        <w:rPr>
          <w:rFonts w:ascii="Times New Roman" w:hAnsi="Times New Roman" w:cs="Times New Roman"/>
          <w:color w:val="000000" w:themeColor="text1"/>
          <w:sz w:val="24"/>
          <w:szCs w:val="24"/>
        </w:rPr>
        <w:t>.</w:t>
      </w:r>
      <w:r w:rsidR="0081737C" w:rsidRPr="006340BE">
        <w:rPr>
          <w:rFonts w:ascii="Times New Roman" w:hAnsi="Times New Roman" w:cs="Times New Roman"/>
          <w:color w:val="000000" w:themeColor="text1"/>
          <w:sz w:val="24"/>
          <w:szCs w:val="24"/>
        </w:rPr>
        <w:t xml:space="preserve"> </w:t>
      </w:r>
      <w:r w:rsidR="00B05D11" w:rsidRPr="006340BE">
        <w:rPr>
          <w:rFonts w:ascii="Times New Roman" w:hAnsi="Times New Roman" w:cs="Times New Roman"/>
          <w:color w:val="000000" w:themeColor="text1"/>
          <w:sz w:val="24"/>
          <w:szCs w:val="24"/>
        </w:rPr>
        <w:t>T</w:t>
      </w:r>
      <w:r w:rsidR="00104216" w:rsidRPr="006340BE">
        <w:rPr>
          <w:rFonts w:ascii="Times New Roman" w:hAnsi="Times New Roman" w:cs="Times New Roman"/>
          <w:color w:val="000000" w:themeColor="text1"/>
          <w:sz w:val="24"/>
          <w:szCs w:val="24"/>
        </w:rPr>
        <w:t>he increase</w:t>
      </w:r>
      <w:r w:rsidRPr="006340BE">
        <w:rPr>
          <w:rFonts w:ascii="Times New Roman" w:hAnsi="Times New Roman" w:cs="Times New Roman"/>
          <w:color w:val="000000" w:themeColor="text1"/>
          <w:sz w:val="24"/>
          <w:szCs w:val="24"/>
        </w:rPr>
        <w:t>d dependency on</w:t>
      </w:r>
      <w:r w:rsidR="00104216" w:rsidRPr="006340BE">
        <w:rPr>
          <w:rFonts w:ascii="Times New Roman" w:hAnsi="Times New Roman" w:cs="Times New Roman"/>
          <w:color w:val="000000" w:themeColor="text1"/>
          <w:sz w:val="24"/>
          <w:szCs w:val="24"/>
        </w:rPr>
        <w:t xml:space="preserve"> </w:t>
      </w:r>
      <w:r w:rsidR="001D630E" w:rsidRPr="006340BE">
        <w:rPr>
          <w:rFonts w:ascii="Times New Roman" w:hAnsi="Times New Roman" w:cs="Times New Roman"/>
          <w:color w:val="000000" w:themeColor="text1"/>
          <w:sz w:val="24"/>
          <w:szCs w:val="24"/>
        </w:rPr>
        <w:t>short-lived</w:t>
      </w:r>
      <w:r w:rsidRPr="006340BE">
        <w:rPr>
          <w:rFonts w:ascii="Times New Roman" w:hAnsi="Times New Roman" w:cs="Times New Roman"/>
          <w:color w:val="000000" w:themeColor="text1"/>
          <w:sz w:val="24"/>
          <w:szCs w:val="24"/>
        </w:rPr>
        <w:t>,</w:t>
      </w:r>
      <w:r w:rsidR="001D630E" w:rsidRPr="006340BE">
        <w:rPr>
          <w:rFonts w:ascii="Times New Roman" w:hAnsi="Times New Roman" w:cs="Times New Roman"/>
          <w:color w:val="000000" w:themeColor="text1"/>
          <w:sz w:val="24"/>
          <w:szCs w:val="24"/>
        </w:rPr>
        <w:t xml:space="preserve"> </w:t>
      </w:r>
      <w:r w:rsidR="00104216" w:rsidRPr="006340BE">
        <w:rPr>
          <w:rFonts w:ascii="Times New Roman" w:hAnsi="Times New Roman" w:cs="Times New Roman"/>
          <w:color w:val="000000" w:themeColor="text1"/>
          <w:sz w:val="24"/>
          <w:szCs w:val="24"/>
        </w:rPr>
        <w:t>project-based</w:t>
      </w:r>
      <w:r w:rsidRPr="006340BE">
        <w:rPr>
          <w:rFonts w:ascii="Times New Roman" w:hAnsi="Times New Roman" w:cs="Times New Roman"/>
          <w:color w:val="000000" w:themeColor="text1"/>
          <w:sz w:val="24"/>
          <w:szCs w:val="24"/>
        </w:rPr>
        <w:t>,</w:t>
      </w:r>
      <w:r w:rsidR="00104216" w:rsidRPr="006340BE">
        <w:rPr>
          <w:rFonts w:ascii="Times New Roman" w:hAnsi="Times New Roman" w:cs="Times New Roman"/>
          <w:color w:val="000000" w:themeColor="text1"/>
          <w:sz w:val="24"/>
          <w:szCs w:val="24"/>
        </w:rPr>
        <w:t xml:space="preserve"> research funding</w:t>
      </w:r>
      <w:r w:rsidR="00B05D11" w:rsidRPr="006340BE">
        <w:rPr>
          <w:rFonts w:ascii="Times New Roman" w:hAnsi="Times New Roman" w:cs="Times New Roman"/>
          <w:color w:val="000000" w:themeColor="text1"/>
          <w:sz w:val="24"/>
          <w:szCs w:val="24"/>
        </w:rPr>
        <w:t>,</w:t>
      </w:r>
      <w:r w:rsidR="00104216" w:rsidRPr="006340BE">
        <w:rPr>
          <w:rFonts w:ascii="Times New Roman" w:hAnsi="Times New Roman" w:cs="Times New Roman"/>
          <w:color w:val="000000" w:themeColor="text1"/>
          <w:sz w:val="24"/>
          <w:szCs w:val="24"/>
        </w:rPr>
        <w:t xml:space="preserve"> has also contributed to this. </w:t>
      </w:r>
    </w:p>
    <w:p w14:paraId="22C05AC6" w14:textId="55950C53" w:rsidR="001D630E" w:rsidRPr="006340BE" w:rsidRDefault="00FB73F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As part of the existing European Research Area instruments, t</w:t>
      </w:r>
      <w:r w:rsidR="00B06198" w:rsidRPr="006340BE">
        <w:rPr>
          <w:rFonts w:ascii="Times New Roman" w:hAnsi="Times New Roman" w:cs="Times New Roman"/>
          <w:color w:val="000000" w:themeColor="text1"/>
          <w:sz w:val="24"/>
          <w:szCs w:val="24"/>
        </w:rPr>
        <w:t xml:space="preserve">he </w:t>
      </w:r>
      <w:r w:rsidR="00BE2D92" w:rsidRPr="006340BE">
        <w:rPr>
          <w:rFonts w:ascii="Times New Roman" w:hAnsi="Times New Roman" w:cs="Times New Roman"/>
          <w:i/>
          <w:iCs/>
          <w:color w:val="000000" w:themeColor="text1"/>
          <w:sz w:val="24"/>
          <w:szCs w:val="24"/>
        </w:rPr>
        <w:t xml:space="preserve">charter </w:t>
      </w:r>
      <w:r w:rsidR="00104216" w:rsidRPr="006340BE">
        <w:rPr>
          <w:rFonts w:ascii="Times New Roman" w:hAnsi="Times New Roman" w:cs="Times New Roman"/>
          <w:i/>
          <w:iCs/>
          <w:color w:val="000000" w:themeColor="text1"/>
          <w:sz w:val="24"/>
          <w:szCs w:val="24"/>
        </w:rPr>
        <w:t xml:space="preserve">and the </w:t>
      </w:r>
      <w:r w:rsidR="00BE2D92" w:rsidRPr="006340BE">
        <w:rPr>
          <w:rFonts w:ascii="Times New Roman" w:hAnsi="Times New Roman" w:cs="Times New Roman"/>
          <w:i/>
          <w:iCs/>
          <w:color w:val="000000" w:themeColor="text1"/>
          <w:sz w:val="24"/>
          <w:szCs w:val="24"/>
        </w:rPr>
        <w:t>c</w:t>
      </w:r>
      <w:r w:rsidR="00104216" w:rsidRPr="006340BE">
        <w:rPr>
          <w:rFonts w:ascii="Times New Roman" w:hAnsi="Times New Roman" w:cs="Times New Roman"/>
          <w:i/>
          <w:iCs/>
          <w:color w:val="000000" w:themeColor="text1"/>
          <w:sz w:val="24"/>
          <w:szCs w:val="24"/>
        </w:rPr>
        <w:t xml:space="preserve">ode for </w:t>
      </w:r>
      <w:r w:rsidR="00BE2D92" w:rsidRPr="006340BE">
        <w:rPr>
          <w:rFonts w:ascii="Times New Roman" w:hAnsi="Times New Roman" w:cs="Times New Roman"/>
          <w:i/>
          <w:iCs/>
          <w:color w:val="000000" w:themeColor="text1"/>
          <w:sz w:val="24"/>
          <w:szCs w:val="24"/>
        </w:rPr>
        <w:t>r</w:t>
      </w:r>
      <w:r w:rsidR="00104216" w:rsidRPr="006340BE">
        <w:rPr>
          <w:rFonts w:ascii="Times New Roman" w:hAnsi="Times New Roman" w:cs="Times New Roman"/>
          <w:i/>
          <w:iCs/>
          <w:color w:val="000000" w:themeColor="text1"/>
          <w:sz w:val="24"/>
          <w:szCs w:val="24"/>
        </w:rPr>
        <w:t>esearchers</w:t>
      </w:r>
      <w:r w:rsidR="00104216" w:rsidRPr="006340BE">
        <w:rPr>
          <w:rFonts w:ascii="Times New Roman" w:hAnsi="Times New Roman" w:cs="Times New Roman"/>
          <w:color w:val="000000" w:themeColor="text1"/>
          <w:sz w:val="24"/>
          <w:szCs w:val="24"/>
        </w:rPr>
        <w:t xml:space="preserve"> together with actions underpinning</w:t>
      </w:r>
      <w:r w:rsidR="00B05D11" w:rsidRPr="006340BE">
        <w:rPr>
          <w:rFonts w:ascii="Times New Roman" w:hAnsi="Times New Roman" w:cs="Times New Roman"/>
          <w:color w:val="000000" w:themeColor="text1"/>
          <w:sz w:val="24"/>
          <w:szCs w:val="24"/>
        </w:rPr>
        <w:t xml:space="preserve"> </w:t>
      </w:r>
      <w:r w:rsidR="00104216" w:rsidRPr="006340BE">
        <w:rPr>
          <w:rFonts w:ascii="Times New Roman" w:hAnsi="Times New Roman" w:cs="Times New Roman"/>
          <w:color w:val="000000" w:themeColor="text1"/>
          <w:sz w:val="24"/>
          <w:szCs w:val="24"/>
        </w:rPr>
        <w:t>mobility</w:t>
      </w:r>
      <w:r w:rsidR="002947F0" w:rsidRPr="006340BE">
        <w:rPr>
          <w:rFonts w:ascii="Times New Roman" w:hAnsi="Times New Roman" w:cs="Times New Roman"/>
          <w:color w:val="000000" w:themeColor="text1"/>
          <w:sz w:val="24"/>
          <w:szCs w:val="24"/>
        </w:rPr>
        <w:t xml:space="preserve">, </w:t>
      </w:r>
      <w:r w:rsidR="008409D3" w:rsidRPr="006340BE">
        <w:rPr>
          <w:rFonts w:ascii="Times New Roman" w:hAnsi="Times New Roman" w:cs="Times New Roman"/>
          <w:color w:val="000000" w:themeColor="text1"/>
          <w:sz w:val="24"/>
          <w:szCs w:val="24"/>
        </w:rPr>
        <w:t xml:space="preserve">including </w:t>
      </w:r>
      <w:r w:rsidR="002947F0" w:rsidRPr="006340BE">
        <w:rPr>
          <w:rFonts w:ascii="Times New Roman" w:hAnsi="Times New Roman" w:cs="Times New Roman"/>
          <w:color w:val="000000" w:themeColor="text1"/>
          <w:sz w:val="24"/>
          <w:szCs w:val="24"/>
        </w:rPr>
        <w:t xml:space="preserve">the </w:t>
      </w:r>
      <w:r w:rsidR="002947F0" w:rsidRPr="006340BE">
        <w:rPr>
          <w:rFonts w:ascii="Times New Roman" w:hAnsi="Times New Roman" w:cs="Times New Roman"/>
          <w:i/>
          <w:iCs/>
          <w:color w:val="000000" w:themeColor="text1"/>
          <w:sz w:val="24"/>
          <w:szCs w:val="24"/>
        </w:rPr>
        <w:t xml:space="preserve">Marie </w:t>
      </w:r>
      <w:proofErr w:type="spellStart"/>
      <w:r w:rsidR="002947F0" w:rsidRPr="006340BE">
        <w:rPr>
          <w:rFonts w:ascii="Times New Roman" w:hAnsi="Times New Roman" w:cs="Times New Roman"/>
          <w:i/>
          <w:iCs/>
          <w:color w:val="000000" w:themeColor="text1"/>
          <w:sz w:val="24"/>
          <w:szCs w:val="24"/>
        </w:rPr>
        <w:t>Sklodowska</w:t>
      </w:r>
      <w:proofErr w:type="spellEnd"/>
      <w:r w:rsidR="002947F0" w:rsidRPr="006340BE">
        <w:rPr>
          <w:rFonts w:ascii="Times New Roman" w:hAnsi="Times New Roman" w:cs="Times New Roman"/>
          <w:i/>
          <w:iCs/>
          <w:color w:val="000000" w:themeColor="text1"/>
          <w:sz w:val="24"/>
          <w:szCs w:val="24"/>
        </w:rPr>
        <w:t xml:space="preserve"> Curie</w:t>
      </w:r>
      <w:r w:rsidR="002947F0" w:rsidRPr="006340BE">
        <w:rPr>
          <w:rFonts w:ascii="Times New Roman" w:hAnsi="Times New Roman" w:cs="Times New Roman"/>
          <w:color w:val="000000" w:themeColor="text1"/>
          <w:sz w:val="24"/>
          <w:szCs w:val="24"/>
        </w:rPr>
        <w:t xml:space="preserve"> actions, </w:t>
      </w:r>
      <w:r w:rsidR="00104216" w:rsidRPr="006340BE">
        <w:rPr>
          <w:rFonts w:ascii="Times New Roman" w:hAnsi="Times New Roman" w:cs="Times New Roman"/>
          <w:color w:val="000000" w:themeColor="text1"/>
          <w:sz w:val="24"/>
          <w:szCs w:val="24"/>
        </w:rPr>
        <w:t xml:space="preserve">played a role in </w:t>
      </w:r>
      <w:r w:rsidR="00B06198" w:rsidRPr="006340BE">
        <w:rPr>
          <w:rFonts w:ascii="Times New Roman" w:hAnsi="Times New Roman" w:cs="Times New Roman"/>
          <w:color w:val="000000" w:themeColor="text1"/>
          <w:sz w:val="24"/>
          <w:szCs w:val="24"/>
        </w:rPr>
        <w:t xml:space="preserve">supporting </w:t>
      </w:r>
      <w:r w:rsidR="00104216" w:rsidRPr="006340BE">
        <w:rPr>
          <w:rFonts w:ascii="Times New Roman" w:hAnsi="Times New Roman" w:cs="Times New Roman"/>
          <w:color w:val="000000" w:themeColor="text1"/>
          <w:sz w:val="24"/>
          <w:szCs w:val="24"/>
        </w:rPr>
        <w:t xml:space="preserve">researchers’ careers, but </w:t>
      </w:r>
      <w:r w:rsidR="00460AE4" w:rsidRPr="006340BE">
        <w:rPr>
          <w:rFonts w:ascii="Times New Roman" w:hAnsi="Times New Roman" w:cs="Times New Roman"/>
          <w:color w:val="000000" w:themeColor="text1"/>
          <w:sz w:val="24"/>
          <w:szCs w:val="24"/>
        </w:rPr>
        <w:t xml:space="preserve">given the evolution of the labour market and the economy, </w:t>
      </w:r>
      <w:r w:rsidR="00B06198" w:rsidRPr="006340BE">
        <w:rPr>
          <w:rFonts w:ascii="Times New Roman" w:hAnsi="Times New Roman" w:cs="Times New Roman"/>
          <w:color w:val="000000" w:themeColor="text1"/>
          <w:sz w:val="24"/>
          <w:szCs w:val="24"/>
        </w:rPr>
        <w:t xml:space="preserve">there is a need for a </w:t>
      </w:r>
      <w:r w:rsidR="00104216" w:rsidRPr="006340BE">
        <w:rPr>
          <w:rFonts w:ascii="Times New Roman" w:hAnsi="Times New Roman" w:cs="Times New Roman"/>
          <w:color w:val="000000" w:themeColor="text1"/>
          <w:sz w:val="24"/>
          <w:szCs w:val="24"/>
        </w:rPr>
        <w:t xml:space="preserve">more </w:t>
      </w:r>
      <w:r w:rsidR="00460AE4" w:rsidRPr="006340BE">
        <w:rPr>
          <w:rFonts w:ascii="Times New Roman" w:hAnsi="Times New Roman" w:cs="Times New Roman"/>
          <w:color w:val="000000" w:themeColor="text1"/>
          <w:sz w:val="24"/>
          <w:szCs w:val="24"/>
        </w:rPr>
        <w:t xml:space="preserve">comprehensive </w:t>
      </w:r>
      <w:r w:rsidR="00104216" w:rsidRPr="006340BE">
        <w:rPr>
          <w:rFonts w:ascii="Times New Roman" w:hAnsi="Times New Roman" w:cs="Times New Roman"/>
          <w:color w:val="000000" w:themeColor="text1"/>
          <w:sz w:val="24"/>
          <w:szCs w:val="24"/>
        </w:rPr>
        <w:t>approach</w:t>
      </w:r>
      <w:r w:rsidR="00460AE4" w:rsidRPr="006340BE">
        <w:rPr>
          <w:rFonts w:ascii="Times New Roman" w:hAnsi="Times New Roman" w:cs="Times New Roman"/>
          <w:color w:val="000000" w:themeColor="text1"/>
          <w:sz w:val="24"/>
          <w:szCs w:val="24"/>
        </w:rPr>
        <w:t xml:space="preserve"> – a tool box built on tackling the recognition of researchers skills, enhanced mobility and exchanges between academia and industry, targeted training opportunities and a one-stop-shop portal that researchers can access for a number of support services</w:t>
      </w:r>
      <w:r w:rsidR="00AB392D" w:rsidRPr="006340BE">
        <w:rPr>
          <w:rFonts w:ascii="Times New Roman" w:hAnsi="Times New Roman" w:cs="Times New Roman"/>
          <w:color w:val="000000" w:themeColor="text1"/>
          <w:sz w:val="24"/>
          <w:szCs w:val="24"/>
        </w:rPr>
        <w:t xml:space="preserve">. </w:t>
      </w:r>
    </w:p>
    <w:p w14:paraId="389197BC" w14:textId="10EA93B0" w:rsidR="006755D7" w:rsidRPr="006340BE" w:rsidRDefault="006755D7" w:rsidP="00F74968">
      <w:pPr>
        <w:autoSpaceDE w:val="0"/>
        <w:autoSpaceDN w:val="0"/>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olor w:val="000000" w:themeColor="text1"/>
          <w:sz w:val="24"/>
          <w:szCs w:val="24"/>
        </w:rPr>
        <w:t>The skills mismatches constitute a worrying trend for industry and business</w:t>
      </w:r>
      <w:r w:rsidR="00AB392D" w:rsidRPr="006340BE">
        <w:rPr>
          <w:rFonts w:ascii="Times New Roman" w:hAnsi="Times New Roman"/>
          <w:color w:val="000000" w:themeColor="text1"/>
          <w:sz w:val="24"/>
          <w:szCs w:val="24"/>
        </w:rPr>
        <w:t>es</w:t>
      </w:r>
      <w:r w:rsidRPr="006340BE">
        <w:rPr>
          <w:rFonts w:ascii="Times New Roman" w:hAnsi="Times New Roman"/>
          <w:color w:val="000000" w:themeColor="text1"/>
          <w:sz w:val="24"/>
          <w:szCs w:val="24"/>
        </w:rPr>
        <w:t xml:space="preserve"> </w:t>
      </w:r>
      <w:r w:rsidR="00AB392D" w:rsidRPr="006340BE">
        <w:rPr>
          <w:rFonts w:ascii="Times New Roman" w:hAnsi="Times New Roman"/>
          <w:color w:val="000000" w:themeColor="text1"/>
          <w:sz w:val="24"/>
          <w:szCs w:val="24"/>
        </w:rPr>
        <w:t>with</w:t>
      </w:r>
      <w:r w:rsidRPr="006340BE">
        <w:rPr>
          <w:rFonts w:ascii="Times New Roman" w:hAnsi="Times New Roman"/>
          <w:color w:val="000000" w:themeColor="text1"/>
          <w:sz w:val="24"/>
          <w:szCs w:val="24"/>
        </w:rPr>
        <w:t xml:space="preserve"> negative impact on innovation and productivity both in highly innovative industry and services sectors.</w:t>
      </w:r>
      <w:r w:rsidR="0081737C" w:rsidRPr="006340BE">
        <w:rPr>
          <w:rFonts w:ascii="Times New Roman" w:hAnsi="Times New Roman"/>
          <w:color w:val="000000" w:themeColor="text1"/>
          <w:sz w:val="24"/>
          <w:szCs w:val="24"/>
        </w:rPr>
        <w:t xml:space="preserve"> </w:t>
      </w:r>
      <w:r w:rsidRPr="006340BE">
        <w:rPr>
          <w:rFonts w:ascii="Times New Roman" w:hAnsi="Times New Roman" w:cs="Times New Roman"/>
          <w:color w:val="000000" w:themeColor="text1"/>
          <w:sz w:val="24"/>
          <w:szCs w:val="24"/>
        </w:rPr>
        <w:t>Incentivising researchers to pursue a career outside academia</w:t>
      </w:r>
      <w:r w:rsidR="004614DF" w:rsidRPr="006340BE">
        <w:rPr>
          <w:rFonts w:ascii="Times New Roman" w:hAnsi="Times New Roman" w:cs="Times New Roman"/>
          <w:color w:val="000000" w:themeColor="text1"/>
          <w:sz w:val="24"/>
          <w:szCs w:val="24"/>
        </w:rPr>
        <w:t xml:space="preserve"> </w:t>
      </w:r>
      <w:r w:rsidRPr="006340BE">
        <w:rPr>
          <w:rFonts w:ascii="Times New Roman" w:hAnsi="Times New Roman" w:cs="Times New Roman"/>
          <w:color w:val="000000" w:themeColor="text1"/>
          <w:sz w:val="24"/>
          <w:szCs w:val="24"/>
        </w:rPr>
        <w:t>through enhanced inter-</w:t>
      </w:r>
      <w:proofErr w:type="spellStart"/>
      <w:r w:rsidRPr="006340BE">
        <w:rPr>
          <w:rFonts w:ascii="Times New Roman" w:hAnsi="Times New Roman" w:cs="Times New Roman"/>
          <w:color w:val="000000" w:themeColor="text1"/>
          <w:sz w:val="24"/>
          <w:szCs w:val="24"/>
        </w:rPr>
        <w:t>sectoral</w:t>
      </w:r>
      <w:proofErr w:type="spellEnd"/>
      <w:r w:rsidRPr="006340BE">
        <w:rPr>
          <w:rFonts w:ascii="Times New Roman" w:hAnsi="Times New Roman" w:cs="Times New Roman"/>
          <w:color w:val="000000" w:themeColor="text1"/>
          <w:sz w:val="24"/>
          <w:szCs w:val="24"/>
        </w:rPr>
        <w:t xml:space="preserve"> circulation schemes involving industry can help improve </w:t>
      </w:r>
      <w:r w:rsidR="004614DF" w:rsidRPr="006340BE">
        <w:rPr>
          <w:rFonts w:ascii="Times New Roman" w:hAnsi="Times New Roman" w:cs="Times New Roman"/>
          <w:color w:val="000000" w:themeColor="text1"/>
          <w:sz w:val="24"/>
          <w:szCs w:val="24"/>
        </w:rPr>
        <w:t xml:space="preserve">researchers’ </w:t>
      </w:r>
      <w:r w:rsidRPr="006340BE">
        <w:rPr>
          <w:rFonts w:ascii="Times New Roman" w:hAnsi="Times New Roman" w:cs="Times New Roman"/>
          <w:color w:val="000000" w:themeColor="text1"/>
          <w:sz w:val="24"/>
          <w:szCs w:val="24"/>
        </w:rPr>
        <w:t>employability and boost the permeability of talents across Europe’s economy and society.</w:t>
      </w:r>
      <w:r w:rsidR="004614DF" w:rsidRPr="006340BE">
        <w:rPr>
          <w:rFonts w:ascii="Times New Roman" w:hAnsi="Times New Roman" w:cs="Times New Roman"/>
          <w:color w:val="000000" w:themeColor="text1"/>
          <w:sz w:val="24"/>
          <w:szCs w:val="24"/>
        </w:rPr>
        <w:t xml:space="preserve"> </w:t>
      </w:r>
    </w:p>
    <w:p w14:paraId="4476DFB6" w14:textId="10593C4C" w:rsidR="00CB1282" w:rsidRPr="006340BE" w:rsidRDefault="00104216">
      <w:pPr>
        <w:spacing w:before="120" w:after="0" w:line="240" w:lineRule="auto"/>
        <w:jc w:val="both"/>
        <w:rPr>
          <w:rFonts w:ascii="Times New Roman" w:hAnsi="Times New Roman"/>
          <w:color w:val="000000" w:themeColor="text1"/>
          <w:sz w:val="24"/>
        </w:rPr>
      </w:pPr>
      <w:r w:rsidRPr="007A78F6">
        <w:rPr>
          <w:rFonts w:ascii="Times New Roman" w:hAnsi="Times New Roman"/>
          <w:color w:val="000000" w:themeColor="text1"/>
          <w:sz w:val="24"/>
          <w:highlight w:val="yellow"/>
        </w:rPr>
        <w:t>An enhanced</w:t>
      </w:r>
      <w:r w:rsidRPr="007A78F6" w:rsidDel="001667C6">
        <w:rPr>
          <w:rFonts w:ascii="Times New Roman" w:hAnsi="Times New Roman"/>
          <w:color w:val="000000" w:themeColor="text1"/>
          <w:sz w:val="24"/>
          <w:highlight w:val="yellow"/>
        </w:rPr>
        <w:t xml:space="preserve"> </w:t>
      </w:r>
      <w:r w:rsidR="00F63406" w:rsidRPr="007A78F6">
        <w:rPr>
          <w:rFonts w:ascii="Times New Roman" w:hAnsi="Times New Roman"/>
          <w:bCs/>
          <w:i/>
          <w:iCs/>
          <w:color w:val="000000" w:themeColor="text1"/>
          <w:sz w:val="24"/>
          <w:highlight w:val="yellow"/>
        </w:rPr>
        <w:t>E</w:t>
      </w:r>
      <w:r w:rsidR="00F63406" w:rsidRPr="007A78F6" w:rsidDel="001667C6">
        <w:rPr>
          <w:rFonts w:ascii="Times New Roman" w:hAnsi="Times New Roman"/>
          <w:bCs/>
          <w:i/>
          <w:iCs/>
          <w:color w:val="000000" w:themeColor="text1"/>
          <w:sz w:val="24"/>
          <w:highlight w:val="yellow"/>
        </w:rPr>
        <w:t xml:space="preserve">uropean </w:t>
      </w:r>
      <w:r w:rsidR="00460AE4" w:rsidRPr="007A78F6">
        <w:rPr>
          <w:rFonts w:ascii="Times New Roman" w:hAnsi="Times New Roman"/>
          <w:bCs/>
          <w:i/>
          <w:iCs/>
          <w:color w:val="000000" w:themeColor="text1"/>
          <w:sz w:val="24"/>
          <w:highlight w:val="yellow"/>
        </w:rPr>
        <w:t xml:space="preserve">competence </w:t>
      </w:r>
      <w:r w:rsidR="00F63406" w:rsidRPr="007A78F6" w:rsidDel="001667C6">
        <w:rPr>
          <w:rFonts w:ascii="Times New Roman" w:hAnsi="Times New Roman"/>
          <w:bCs/>
          <w:i/>
          <w:iCs/>
          <w:color w:val="000000" w:themeColor="text1"/>
          <w:sz w:val="24"/>
          <w:highlight w:val="yellow"/>
        </w:rPr>
        <w:t>framework for research</w:t>
      </w:r>
      <w:r w:rsidR="00F63406" w:rsidRPr="007A78F6">
        <w:rPr>
          <w:rFonts w:ascii="Times New Roman" w:hAnsi="Times New Roman"/>
          <w:bCs/>
          <w:i/>
          <w:iCs/>
          <w:color w:val="000000" w:themeColor="text1"/>
          <w:sz w:val="24"/>
          <w:highlight w:val="yellow"/>
        </w:rPr>
        <w:t xml:space="preserve"> care</w:t>
      </w:r>
      <w:r w:rsidR="00F63406" w:rsidRPr="007A78F6" w:rsidDel="001667C6">
        <w:rPr>
          <w:rFonts w:ascii="Times New Roman" w:hAnsi="Times New Roman"/>
          <w:bCs/>
          <w:i/>
          <w:iCs/>
          <w:color w:val="000000" w:themeColor="text1"/>
          <w:sz w:val="24"/>
          <w:highlight w:val="yellow"/>
        </w:rPr>
        <w:t>ers</w:t>
      </w:r>
      <w:r w:rsidRPr="007A78F6" w:rsidDel="001667C6">
        <w:rPr>
          <w:rFonts w:ascii="Times New Roman" w:hAnsi="Times New Roman"/>
          <w:color w:val="000000" w:themeColor="text1"/>
          <w:sz w:val="24"/>
          <w:highlight w:val="yellow"/>
        </w:rPr>
        <w:t xml:space="preserve"> will support </w:t>
      </w:r>
      <w:r w:rsidRPr="007A78F6">
        <w:rPr>
          <w:rFonts w:ascii="Times New Roman" w:hAnsi="Times New Roman" w:cs="Times New Roman"/>
          <w:color w:val="000000" w:themeColor="text1"/>
          <w:sz w:val="24"/>
          <w:szCs w:val="24"/>
          <w:highlight w:val="yellow"/>
          <w:lang w:eastAsia="fr-BE"/>
        </w:rPr>
        <w:t>comparable and interoperable research careers</w:t>
      </w:r>
      <w:r w:rsidR="00F63406" w:rsidRPr="007A78F6">
        <w:rPr>
          <w:rFonts w:ascii="Times New Roman" w:hAnsi="Times New Roman" w:cs="Times New Roman"/>
          <w:color w:val="000000" w:themeColor="text1"/>
          <w:sz w:val="24"/>
          <w:szCs w:val="24"/>
          <w:highlight w:val="yellow"/>
          <w:lang w:eastAsia="fr-BE"/>
        </w:rPr>
        <w:t xml:space="preserve"> identifying a</w:t>
      </w:r>
      <w:r w:rsidRPr="007A78F6" w:rsidDel="001667C6">
        <w:rPr>
          <w:rFonts w:ascii="Times New Roman" w:hAnsi="Times New Roman"/>
          <w:color w:val="000000" w:themeColor="text1"/>
          <w:sz w:val="24"/>
          <w:highlight w:val="yellow"/>
        </w:rPr>
        <w:t xml:space="preserve"> set of core skills </w:t>
      </w:r>
      <w:r w:rsidRPr="007A78F6">
        <w:rPr>
          <w:rFonts w:ascii="Times New Roman" w:hAnsi="Times New Roman"/>
          <w:color w:val="000000" w:themeColor="text1"/>
          <w:sz w:val="24"/>
          <w:highlight w:val="yellow"/>
        </w:rPr>
        <w:t xml:space="preserve">and </w:t>
      </w:r>
      <w:r w:rsidR="00F63406" w:rsidRPr="007A78F6">
        <w:rPr>
          <w:rFonts w:ascii="Times New Roman" w:hAnsi="Times New Roman"/>
          <w:color w:val="000000" w:themeColor="text1"/>
          <w:sz w:val="24"/>
          <w:highlight w:val="yellow"/>
        </w:rPr>
        <w:t xml:space="preserve">modernising </w:t>
      </w:r>
      <w:r w:rsidRPr="007A78F6">
        <w:rPr>
          <w:rFonts w:ascii="Times New Roman" w:hAnsi="Times New Roman"/>
          <w:color w:val="000000" w:themeColor="text1"/>
          <w:sz w:val="24"/>
          <w:highlight w:val="yellow"/>
        </w:rPr>
        <w:t>rewarding</w:t>
      </w:r>
      <w:r w:rsidR="005E5204" w:rsidRPr="007A78F6">
        <w:rPr>
          <w:rFonts w:ascii="Times New Roman" w:hAnsi="Times New Roman"/>
          <w:color w:val="000000" w:themeColor="text1"/>
          <w:sz w:val="24"/>
          <w:highlight w:val="yellow"/>
        </w:rPr>
        <w:t xml:space="preserve"> systems</w:t>
      </w:r>
      <w:r w:rsidRPr="007A78F6" w:rsidDel="001667C6">
        <w:rPr>
          <w:rFonts w:ascii="Times New Roman" w:hAnsi="Times New Roman"/>
          <w:color w:val="000000" w:themeColor="text1"/>
          <w:sz w:val="24"/>
          <w:highlight w:val="yellow"/>
        </w:rPr>
        <w:t>.</w:t>
      </w:r>
      <w:r w:rsidRPr="007A78F6">
        <w:rPr>
          <w:rFonts w:ascii="Times New Roman" w:hAnsi="Times New Roman"/>
          <w:color w:val="000000" w:themeColor="text1"/>
          <w:sz w:val="24"/>
          <w:highlight w:val="yellow"/>
        </w:rPr>
        <w:t xml:space="preserve"> </w:t>
      </w:r>
      <w:r w:rsidRPr="007A78F6" w:rsidDel="001667C6">
        <w:rPr>
          <w:rFonts w:ascii="Times New Roman" w:hAnsi="Times New Roman"/>
          <w:color w:val="000000" w:themeColor="text1"/>
          <w:sz w:val="24"/>
          <w:highlight w:val="yellow"/>
        </w:rPr>
        <w:t>Defining</w:t>
      </w:r>
      <w:r w:rsidR="00F63406" w:rsidRPr="007A78F6">
        <w:rPr>
          <w:rFonts w:ascii="Times New Roman" w:hAnsi="Times New Roman"/>
          <w:color w:val="000000" w:themeColor="text1"/>
          <w:sz w:val="24"/>
          <w:highlight w:val="yellow"/>
        </w:rPr>
        <w:t xml:space="preserve"> with Member States</w:t>
      </w:r>
      <w:r w:rsidRPr="007A78F6" w:rsidDel="001667C6">
        <w:rPr>
          <w:rFonts w:ascii="Times New Roman" w:hAnsi="Times New Roman"/>
          <w:color w:val="000000" w:themeColor="text1"/>
          <w:sz w:val="24"/>
          <w:highlight w:val="yellow"/>
        </w:rPr>
        <w:t xml:space="preserve"> a </w:t>
      </w:r>
      <w:r w:rsidRPr="007A78F6">
        <w:rPr>
          <w:rFonts w:ascii="Times New Roman" w:hAnsi="Times New Roman"/>
          <w:i/>
          <w:iCs/>
          <w:color w:val="000000" w:themeColor="text1"/>
          <w:sz w:val="24"/>
          <w:highlight w:val="yellow"/>
        </w:rPr>
        <w:t xml:space="preserve">European </w:t>
      </w:r>
      <w:r w:rsidR="006755D7" w:rsidRPr="007A78F6">
        <w:rPr>
          <w:rFonts w:ascii="Times New Roman" w:hAnsi="Times New Roman"/>
          <w:i/>
          <w:iCs/>
          <w:color w:val="000000" w:themeColor="text1"/>
          <w:sz w:val="24"/>
          <w:highlight w:val="yellow"/>
        </w:rPr>
        <w:t>c</w:t>
      </w:r>
      <w:r w:rsidRPr="007A78F6">
        <w:rPr>
          <w:rFonts w:ascii="Times New Roman" w:hAnsi="Times New Roman"/>
          <w:i/>
          <w:iCs/>
          <w:color w:val="000000" w:themeColor="text1"/>
          <w:sz w:val="24"/>
          <w:highlight w:val="yellow"/>
        </w:rPr>
        <w:t xml:space="preserve">ompetence </w:t>
      </w:r>
      <w:r w:rsidR="006755D7" w:rsidRPr="007A78F6">
        <w:rPr>
          <w:rFonts w:ascii="Times New Roman" w:hAnsi="Times New Roman"/>
          <w:i/>
          <w:iCs/>
          <w:color w:val="000000" w:themeColor="text1"/>
          <w:sz w:val="24"/>
          <w:highlight w:val="yellow"/>
        </w:rPr>
        <w:t>f</w:t>
      </w:r>
      <w:r w:rsidRPr="007A78F6">
        <w:rPr>
          <w:rFonts w:ascii="Times New Roman" w:hAnsi="Times New Roman"/>
          <w:i/>
          <w:iCs/>
          <w:color w:val="000000" w:themeColor="text1"/>
          <w:sz w:val="24"/>
          <w:highlight w:val="yellow"/>
        </w:rPr>
        <w:t>ramework</w:t>
      </w:r>
      <w:r w:rsidRPr="007A78F6">
        <w:rPr>
          <w:rFonts w:ascii="Times New Roman" w:hAnsi="Times New Roman"/>
          <w:color w:val="000000" w:themeColor="text1"/>
          <w:sz w:val="24"/>
          <w:highlight w:val="yellow"/>
        </w:rPr>
        <w:t xml:space="preserve"> and a </w:t>
      </w:r>
      <w:r w:rsidRPr="007A78F6" w:rsidDel="001667C6">
        <w:rPr>
          <w:rFonts w:ascii="Times New Roman" w:hAnsi="Times New Roman"/>
          <w:color w:val="000000" w:themeColor="text1"/>
          <w:sz w:val="24"/>
          <w:highlight w:val="yellow"/>
        </w:rPr>
        <w:t>taxonomy of researchers</w:t>
      </w:r>
      <w:r w:rsidRPr="007A78F6">
        <w:rPr>
          <w:rFonts w:ascii="Times New Roman" w:hAnsi="Times New Roman"/>
          <w:color w:val="000000" w:themeColor="text1"/>
          <w:sz w:val="24"/>
          <w:highlight w:val="yellow"/>
        </w:rPr>
        <w:t>’ skills</w:t>
      </w:r>
      <w:r w:rsidRPr="007A78F6" w:rsidDel="001667C6">
        <w:rPr>
          <w:rFonts w:ascii="Times New Roman" w:hAnsi="Times New Roman"/>
          <w:color w:val="000000" w:themeColor="text1"/>
          <w:sz w:val="24"/>
          <w:highlight w:val="yellow"/>
        </w:rPr>
        <w:t xml:space="preserve"> will allow monitoring </w:t>
      </w:r>
      <w:r w:rsidR="00CB1282" w:rsidRPr="007A78F6">
        <w:rPr>
          <w:rFonts w:ascii="Times New Roman" w:hAnsi="Times New Roman"/>
          <w:color w:val="000000" w:themeColor="text1"/>
          <w:sz w:val="24"/>
          <w:highlight w:val="yellow"/>
        </w:rPr>
        <w:t xml:space="preserve">the trends in the </w:t>
      </w:r>
      <w:r w:rsidRPr="007A78F6">
        <w:rPr>
          <w:rFonts w:ascii="Times New Roman" w:hAnsi="Times New Roman" w:cs="Times New Roman"/>
          <w:color w:val="000000" w:themeColor="text1"/>
          <w:sz w:val="24"/>
          <w:szCs w:val="24"/>
          <w:highlight w:val="yellow"/>
        </w:rPr>
        <w:t xml:space="preserve">research labour market careers, skills and </w:t>
      </w:r>
      <w:r w:rsidRPr="007A78F6">
        <w:rPr>
          <w:rFonts w:ascii="Times New Roman" w:hAnsi="Times New Roman"/>
          <w:color w:val="000000" w:themeColor="text1"/>
          <w:sz w:val="24"/>
          <w:highlight w:val="yellow"/>
        </w:rPr>
        <w:t>talent</w:t>
      </w:r>
      <w:r w:rsidRPr="007A78F6">
        <w:rPr>
          <w:rStyle w:val="FootnoteReference"/>
          <w:rFonts w:ascii="Times New Roman" w:hAnsi="Times New Roman"/>
          <w:color w:val="000000" w:themeColor="text1"/>
          <w:sz w:val="24"/>
          <w:highlight w:val="yellow"/>
        </w:rPr>
        <w:footnoteReference w:id="45"/>
      </w:r>
      <w:r w:rsidRPr="007A78F6" w:rsidDel="001667C6">
        <w:rPr>
          <w:rFonts w:ascii="Times New Roman" w:hAnsi="Times New Roman"/>
          <w:color w:val="000000" w:themeColor="text1"/>
          <w:sz w:val="24"/>
          <w:highlight w:val="yellow"/>
        </w:rPr>
        <w:t>.</w:t>
      </w:r>
      <w:r w:rsidR="0084023F" w:rsidRPr="0084023F">
        <w:t xml:space="preserve"> </w:t>
      </w:r>
      <w:r w:rsidR="0084023F" w:rsidRPr="0084023F">
        <w:rPr>
          <w:rFonts w:ascii="Times New Roman" w:hAnsi="Times New Roman"/>
          <w:color w:val="000000" w:themeColor="text1"/>
          <w:sz w:val="24"/>
        </w:rPr>
        <w:t>This can be supported by deepened skills intelligence, a flagship action presented in the Communication on a European Skills Agenda for sustainable competitiveness, social fairness and resilience.</w:t>
      </w:r>
    </w:p>
    <w:p w14:paraId="54454C6E" w14:textId="20C74A7D" w:rsidR="00F17B80" w:rsidRPr="006340BE" w:rsidRDefault="00911910">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T</w:t>
      </w:r>
      <w:r w:rsidR="00F17B80" w:rsidRPr="006340BE">
        <w:rPr>
          <w:rFonts w:ascii="Times New Roman" w:hAnsi="Times New Roman" w:cs="Times New Roman"/>
          <w:color w:val="000000" w:themeColor="text1"/>
          <w:sz w:val="24"/>
          <w:szCs w:val="24"/>
        </w:rPr>
        <w:t xml:space="preserve">he </w:t>
      </w:r>
      <w:r w:rsidR="00F17B80" w:rsidRPr="006340BE">
        <w:rPr>
          <w:rFonts w:ascii="Times New Roman" w:hAnsi="Times New Roman" w:cs="Times New Roman"/>
          <w:i/>
          <w:iCs/>
          <w:color w:val="000000" w:themeColor="text1"/>
          <w:sz w:val="24"/>
          <w:szCs w:val="24"/>
        </w:rPr>
        <w:t>ERA4You</w:t>
      </w:r>
      <w:r w:rsidR="00F17B80" w:rsidRPr="006340BE">
        <w:rPr>
          <w:rFonts w:ascii="Times New Roman" w:hAnsi="Times New Roman" w:cs="Times New Roman"/>
          <w:color w:val="000000" w:themeColor="text1"/>
          <w:sz w:val="24"/>
          <w:szCs w:val="24"/>
        </w:rPr>
        <w:t xml:space="preserve"> initiative </w:t>
      </w:r>
      <w:r w:rsidR="001B70A1" w:rsidRPr="006340BE">
        <w:rPr>
          <w:rFonts w:ascii="Times New Roman" w:hAnsi="Times New Roman" w:cs="Times New Roman"/>
          <w:color w:val="000000" w:themeColor="text1"/>
          <w:sz w:val="24"/>
          <w:szCs w:val="24"/>
        </w:rPr>
        <w:t>will</w:t>
      </w:r>
      <w:r w:rsidR="00F17B80" w:rsidRPr="006340BE">
        <w:rPr>
          <w:rFonts w:ascii="Times New Roman" w:hAnsi="Times New Roman" w:cs="Times New Roman"/>
          <w:color w:val="000000" w:themeColor="text1"/>
          <w:sz w:val="24"/>
          <w:szCs w:val="24"/>
        </w:rPr>
        <w:t xml:space="preserve"> introduce </w:t>
      </w:r>
      <w:r w:rsidRPr="006340BE">
        <w:rPr>
          <w:rFonts w:ascii="Times New Roman" w:hAnsi="Times New Roman" w:cs="Times New Roman"/>
          <w:color w:val="000000" w:themeColor="text1"/>
          <w:sz w:val="24"/>
          <w:szCs w:val="24"/>
        </w:rPr>
        <w:t xml:space="preserve">measures </w:t>
      </w:r>
      <w:r w:rsidR="001B70A1" w:rsidRPr="006340BE">
        <w:rPr>
          <w:rFonts w:ascii="Times New Roman" w:hAnsi="Times New Roman" w:cs="Times New Roman"/>
          <w:color w:val="000000" w:themeColor="text1"/>
          <w:sz w:val="24"/>
          <w:szCs w:val="24"/>
        </w:rPr>
        <w:t>to reinforce inter</w:t>
      </w:r>
      <w:r w:rsidR="00CB1282" w:rsidRPr="006340BE">
        <w:rPr>
          <w:rFonts w:ascii="Times New Roman" w:hAnsi="Times New Roman" w:cs="Times New Roman"/>
          <w:color w:val="000000" w:themeColor="text1"/>
          <w:sz w:val="24"/>
          <w:szCs w:val="24"/>
        </w:rPr>
        <w:t>-</w:t>
      </w:r>
      <w:proofErr w:type="spellStart"/>
      <w:r w:rsidR="001B70A1" w:rsidRPr="006340BE">
        <w:rPr>
          <w:rFonts w:ascii="Times New Roman" w:hAnsi="Times New Roman" w:cs="Times New Roman"/>
          <w:color w:val="000000" w:themeColor="text1"/>
          <w:sz w:val="24"/>
          <w:szCs w:val="24"/>
        </w:rPr>
        <w:t>sectoral</w:t>
      </w:r>
      <w:proofErr w:type="spellEnd"/>
      <w:r w:rsidR="001B70A1" w:rsidRPr="006340BE">
        <w:rPr>
          <w:rFonts w:ascii="Times New Roman" w:hAnsi="Times New Roman" w:cs="Times New Roman"/>
          <w:color w:val="000000" w:themeColor="text1"/>
          <w:sz w:val="24"/>
          <w:szCs w:val="24"/>
        </w:rPr>
        <w:t xml:space="preserve"> mobility</w:t>
      </w:r>
      <w:r w:rsidR="00AA6AA0" w:rsidRPr="006340BE">
        <w:rPr>
          <w:rFonts w:ascii="Times New Roman" w:hAnsi="Times New Roman" w:cs="Times New Roman"/>
          <w:color w:val="000000" w:themeColor="text1"/>
          <w:sz w:val="24"/>
          <w:szCs w:val="24"/>
        </w:rPr>
        <w:t>,</w:t>
      </w:r>
      <w:r w:rsidRPr="006340BE">
        <w:rPr>
          <w:rFonts w:ascii="Times New Roman" w:hAnsi="Times New Roman" w:cs="Times New Roman"/>
          <w:color w:val="000000" w:themeColor="text1"/>
          <w:sz w:val="24"/>
          <w:szCs w:val="24"/>
        </w:rPr>
        <w:t xml:space="preserve"> </w:t>
      </w:r>
      <w:r w:rsidR="00AA6AA0" w:rsidRPr="006340BE">
        <w:rPr>
          <w:rFonts w:ascii="Times New Roman" w:hAnsi="Times New Roman" w:cs="Times New Roman"/>
          <w:color w:val="000000" w:themeColor="text1"/>
          <w:sz w:val="24"/>
          <w:szCs w:val="24"/>
        </w:rPr>
        <w:t xml:space="preserve">strengthen academic-business cooperation </w:t>
      </w:r>
      <w:r w:rsidRPr="006340BE">
        <w:rPr>
          <w:rFonts w:ascii="Times New Roman" w:hAnsi="Times New Roman" w:cs="Times New Roman"/>
          <w:color w:val="000000" w:themeColor="text1"/>
          <w:sz w:val="24"/>
          <w:szCs w:val="24"/>
        </w:rPr>
        <w:t xml:space="preserve">and </w:t>
      </w:r>
      <w:r w:rsidR="00AA6AA0" w:rsidRPr="006340BE">
        <w:rPr>
          <w:rFonts w:ascii="Times New Roman" w:hAnsi="Times New Roman" w:cs="Times New Roman"/>
          <w:color w:val="000000" w:themeColor="text1"/>
          <w:sz w:val="24"/>
          <w:szCs w:val="24"/>
        </w:rPr>
        <w:t xml:space="preserve">the </w:t>
      </w:r>
      <w:r w:rsidR="00F17B80" w:rsidRPr="006340BE">
        <w:rPr>
          <w:rFonts w:ascii="Times New Roman" w:hAnsi="Times New Roman" w:cs="Times New Roman"/>
          <w:color w:val="000000" w:themeColor="text1"/>
          <w:sz w:val="24"/>
          <w:szCs w:val="24"/>
        </w:rPr>
        <w:t>involvement of</w:t>
      </w:r>
      <w:r w:rsidR="005901EA" w:rsidRPr="006340BE">
        <w:rPr>
          <w:rFonts w:ascii="Times New Roman" w:hAnsi="Times New Roman" w:cs="Times New Roman"/>
          <w:color w:val="000000" w:themeColor="text1"/>
          <w:sz w:val="24"/>
          <w:szCs w:val="24"/>
        </w:rPr>
        <w:t xml:space="preserve"> the</w:t>
      </w:r>
      <w:r w:rsidR="00F17B80" w:rsidRPr="006340BE">
        <w:rPr>
          <w:rFonts w:ascii="Times New Roman" w:hAnsi="Times New Roman" w:cs="Times New Roman"/>
          <w:color w:val="000000" w:themeColor="text1"/>
          <w:sz w:val="24"/>
          <w:szCs w:val="24"/>
        </w:rPr>
        <w:t xml:space="preserve"> </w:t>
      </w:r>
      <w:r w:rsidR="00CB1282" w:rsidRPr="006340BE">
        <w:rPr>
          <w:rFonts w:ascii="Times New Roman" w:hAnsi="Times New Roman" w:cs="Times New Roman"/>
          <w:color w:val="000000" w:themeColor="text1"/>
          <w:sz w:val="24"/>
          <w:szCs w:val="24"/>
        </w:rPr>
        <w:t xml:space="preserve">private </w:t>
      </w:r>
      <w:r w:rsidR="00F17B80" w:rsidRPr="006340BE">
        <w:rPr>
          <w:rFonts w:ascii="Times New Roman" w:hAnsi="Times New Roman" w:cs="Times New Roman"/>
          <w:color w:val="000000" w:themeColor="text1"/>
          <w:sz w:val="24"/>
          <w:szCs w:val="24"/>
        </w:rPr>
        <w:t>sector in training</w:t>
      </w:r>
      <w:r w:rsidR="00867176" w:rsidRPr="006340BE">
        <w:rPr>
          <w:rFonts w:ascii="Times New Roman" w:hAnsi="Times New Roman" w:cs="Times New Roman"/>
          <w:color w:val="000000" w:themeColor="text1"/>
          <w:sz w:val="24"/>
          <w:szCs w:val="24"/>
        </w:rPr>
        <w:t xml:space="preserve"> and skills development of researchers. This will underpin</w:t>
      </w:r>
      <w:r w:rsidR="001B70A1" w:rsidRPr="006340BE">
        <w:rPr>
          <w:rFonts w:ascii="Times New Roman" w:hAnsi="Times New Roman" w:cs="Times New Roman"/>
          <w:color w:val="000000" w:themeColor="text1"/>
          <w:sz w:val="24"/>
          <w:szCs w:val="24"/>
        </w:rPr>
        <w:t xml:space="preserve"> permeability of R&amp;I talents to the entire</w:t>
      </w:r>
      <w:r w:rsidR="00F17B80" w:rsidRPr="006340BE">
        <w:rPr>
          <w:rFonts w:ascii="Times New Roman" w:hAnsi="Times New Roman" w:cs="Times New Roman"/>
          <w:color w:val="000000" w:themeColor="text1"/>
          <w:sz w:val="24"/>
          <w:szCs w:val="24"/>
        </w:rPr>
        <w:t xml:space="preserve"> society and economy</w:t>
      </w:r>
      <w:r w:rsidR="001B70A1" w:rsidRPr="006340BE">
        <w:rPr>
          <w:rFonts w:ascii="Times New Roman" w:hAnsi="Times New Roman" w:cs="Times New Roman"/>
          <w:color w:val="000000" w:themeColor="text1"/>
          <w:sz w:val="24"/>
          <w:szCs w:val="24"/>
        </w:rPr>
        <w:t>, thus boosting growth and jobs</w:t>
      </w:r>
      <w:r w:rsidR="00F17B80" w:rsidRPr="006340BE">
        <w:rPr>
          <w:rFonts w:ascii="Times New Roman" w:hAnsi="Times New Roman" w:cs="Times New Roman"/>
          <w:color w:val="000000" w:themeColor="text1"/>
          <w:sz w:val="24"/>
          <w:szCs w:val="24"/>
        </w:rPr>
        <w:t>.</w:t>
      </w:r>
      <w:r w:rsidR="00867176" w:rsidRPr="006340BE">
        <w:rPr>
          <w:color w:val="000000" w:themeColor="text1"/>
        </w:rPr>
        <w:t xml:space="preserve"> </w:t>
      </w:r>
      <w:r w:rsidR="00867176" w:rsidRPr="006340BE">
        <w:rPr>
          <w:rFonts w:ascii="Times New Roman" w:hAnsi="Times New Roman" w:cs="Times New Roman"/>
          <w:color w:val="000000" w:themeColor="text1"/>
          <w:sz w:val="24"/>
          <w:szCs w:val="24"/>
        </w:rPr>
        <w:t xml:space="preserve">It will encourage researchers towards entrepreneurship and business creation. </w:t>
      </w:r>
      <w:r w:rsidR="00FB73F8" w:rsidRPr="006340BE">
        <w:rPr>
          <w:rFonts w:ascii="Times New Roman" w:hAnsi="Times New Roman" w:cs="Times New Roman"/>
          <w:color w:val="000000" w:themeColor="text1"/>
          <w:sz w:val="24"/>
          <w:szCs w:val="24"/>
        </w:rPr>
        <w:t>The ERA4You will have a dedicated pillar for Widening Countries to support researchers from these countries to develop and access excellence.</w:t>
      </w:r>
    </w:p>
    <w:p w14:paraId="0192056F" w14:textId="1155AAF5" w:rsidR="002F7AB2" w:rsidRPr="006340BE" w:rsidRDefault="002F7AB2">
      <w:pPr>
        <w:spacing w:before="120" w:after="0" w:line="240" w:lineRule="auto"/>
        <w:jc w:val="both"/>
        <w:rPr>
          <w:rFonts w:ascii="Times New Roman" w:hAnsi="Times New Roman" w:cs="Times New Roman"/>
          <w:color w:val="000000" w:themeColor="text1"/>
          <w:sz w:val="24"/>
          <w:szCs w:val="24"/>
        </w:rPr>
      </w:pPr>
      <w:r w:rsidRPr="007A78F6">
        <w:rPr>
          <w:rFonts w:ascii="Times New Roman" w:hAnsi="Times New Roman" w:cs="Times New Roman"/>
          <w:color w:val="000000" w:themeColor="text1"/>
          <w:sz w:val="24"/>
          <w:szCs w:val="24"/>
          <w:highlight w:val="cyan"/>
        </w:rPr>
        <w:t xml:space="preserve">The EURAXESS services, network and portals will </w:t>
      </w:r>
      <w:r w:rsidR="00FB73F8" w:rsidRPr="007A78F6">
        <w:rPr>
          <w:rFonts w:ascii="Times New Roman" w:hAnsi="Times New Roman" w:cs="Times New Roman"/>
          <w:color w:val="000000" w:themeColor="text1"/>
          <w:sz w:val="24"/>
          <w:szCs w:val="24"/>
          <w:highlight w:val="cyan"/>
        </w:rPr>
        <w:t>be broadened into</w:t>
      </w:r>
      <w:r w:rsidRPr="007A78F6">
        <w:rPr>
          <w:rFonts w:ascii="Times New Roman" w:hAnsi="Times New Roman" w:cs="Times New Roman"/>
          <w:color w:val="000000" w:themeColor="text1"/>
          <w:sz w:val="24"/>
          <w:szCs w:val="24"/>
          <w:highlight w:val="cyan"/>
        </w:rPr>
        <w:t xml:space="preserve"> an </w:t>
      </w:r>
      <w:r w:rsidRPr="007A78F6">
        <w:rPr>
          <w:rFonts w:ascii="Times New Roman" w:hAnsi="Times New Roman" w:cs="Times New Roman"/>
          <w:i/>
          <w:iCs/>
          <w:color w:val="000000" w:themeColor="text1"/>
          <w:sz w:val="24"/>
          <w:szCs w:val="24"/>
          <w:highlight w:val="cyan"/>
        </w:rPr>
        <w:t>ERA Talent Platform</w:t>
      </w:r>
      <w:r w:rsidRPr="007A78F6">
        <w:rPr>
          <w:rFonts w:ascii="Times New Roman" w:hAnsi="Times New Roman" w:cs="Times New Roman"/>
          <w:color w:val="000000" w:themeColor="text1"/>
          <w:sz w:val="24"/>
          <w:szCs w:val="24"/>
          <w:highlight w:val="cyan"/>
        </w:rPr>
        <w:t xml:space="preserve">, </w:t>
      </w:r>
      <w:r w:rsidR="00460AE4" w:rsidRPr="007A78F6">
        <w:rPr>
          <w:rFonts w:ascii="Times New Roman" w:hAnsi="Times New Roman" w:cs="Times New Roman"/>
          <w:color w:val="000000" w:themeColor="text1"/>
          <w:sz w:val="24"/>
          <w:szCs w:val="24"/>
          <w:highlight w:val="cyan"/>
        </w:rPr>
        <w:t xml:space="preserve">an online one-stop–shop, </w:t>
      </w:r>
      <w:r w:rsidRPr="007A78F6">
        <w:rPr>
          <w:rFonts w:ascii="Times New Roman" w:hAnsi="Times New Roman" w:cs="Times New Roman"/>
          <w:color w:val="000000" w:themeColor="text1"/>
          <w:sz w:val="24"/>
          <w:szCs w:val="24"/>
          <w:highlight w:val="cyan"/>
        </w:rPr>
        <w:t xml:space="preserve">with improved structure and governance, exploiting links to </w:t>
      </w:r>
      <w:proofErr w:type="spellStart"/>
      <w:r w:rsidRPr="007A78F6">
        <w:rPr>
          <w:rFonts w:ascii="Times New Roman" w:hAnsi="Times New Roman" w:cs="Times New Roman"/>
          <w:color w:val="000000" w:themeColor="text1"/>
          <w:sz w:val="24"/>
          <w:szCs w:val="24"/>
          <w:highlight w:val="cyan"/>
        </w:rPr>
        <w:t>Europass</w:t>
      </w:r>
      <w:proofErr w:type="spellEnd"/>
      <w:r w:rsidRPr="007A78F6">
        <w:rPr>
          <w:rFonts w:ascii="Times New Roman" w:hAnsi="Times New Roman" w:cs="Times New Roman"/>
          <w:color w:val="000000" w:themeColor="text1"/>
          <w:sz w:val="24"/>
          <w:szCs w:val="24"/>
          <w:highlight w:val="cyan"/>
        </w:rPr>
        <w:t>, the EU platform for people to manage their learning and careers and the EURES network of European public employment services</w:t>
      </w:r>
      <w:r w:rsidRPr="007A78F6">
        <w:rPr>
          <w:rStyle w:val="FootnoteReference"/>
          <w:rFonts w:ascii="Times New Roman" w:hAnsi="Times New Roman" w:cs="Times New Roman"/>
          <w:color w:val="000000" w:themeColor="text1"/>
          <w:sz w:val="24"/>
          <w:szCs w:val="24"/>
          <w:highlight w:val="cyan"/>
        </w:rPr>
        <w:footnoteReference w:id="46"/>
      </w:r>
      <w:r w:rsidR="009E3399" w:rsidRPr="007A78F6">
        <w:rPr>
          <w:rFonts w:ascii="Times New Roman" w:hAnsi="Times New Roman" w:cs="Times New Roman"/>
          <w:color w:val="000000" w:themeColor="text1"/>
          <w:sz w:val="24"/>
          <w:szCs w:val="24"/>
          <w:highlight w:val="cyan"/>
        </w:rPr>
        <w:t>.</w:t>
      </w:r>
    </w:p>
    <w:p w14:paraId="15F31F30" w14:textId="2257DF13" w:rsidR="002F7AB2" w:rsidRPr="006340BE" w:rsidRDefault="00460AE4" w:rsidP="008F1A23">
      <w:pPr>
        <w:keepLines/>
        <w:spacing w:before="120" w:after="0" w:line="240" w:lineRule="auto"/>
        <w:jc w:val="both"/>
        <w:rPr>
          <w:rFonts w:ascii="Times New Roman" w:hAnsi="Times New Roman" w:cs="Times New Roman"/>
          <w:color w:val="000000" w:themeColor="text1"/>
          <w:sz w:val="24"/>
          <w:szCs w:val="24"/>
        </w:rPr>
      </w:pPr>
      <w:r w:rsidRPr="007A78F6">
        <w:rPr>
          <w:rFonts w:ascii="Times New Roman" w:hAnsi="Times New Roman"/>
          <w:color w:val="000000" w:themeColor="text1"/>
          <w:sz w:val="24"/>
          <w:highlight w:val="cyan"/>
        </w:rPr>
        <w:lastRenderedPageBreak/>
        <w:t xml:space="preserve">In implementing this toolbox, the Commission </w:t>
      </w:r>
      <w:r w:rsidR="006755D7" w:rsidRPr="007A78F6" w:rsidDel="001667C6">
        <w:rPr>
          <w:rFonts w:ascii="Times New Roman" w:hAnsi="Times New Roman"/>
          <w:color w:val="000000" w:themeColor="text1"/>
          <w:sz w:val="24"/>
          <w:highlight w:val="cyan"/>
        </w:rPr>
        <w:t>will pursue synergies with mobility</w:t>
      </w:r>
      <w:r w:rsidR="006755D7" w:rsidRPr="007A78F6">
        <w:rPr>
          <w:rFonts w:ascii="Times New Roman" w:hAnsi="Times New Roman"/>
          <w:color w:val="000000" w:themeColor="text1"/>
          <w:sz w:val="24"/>
          <w:highlight w:val="cyan"/>
        </w:rPr>
        <w:t xml:space="preserve"> and career development</w:t>
      </w:r>
      <w:r w:rsidR="006755D7" w:rsidRPr="007A78F6" w:rsidDel="001667C6">
        <w:rPr>
          <w:rFonts w:ascii="Times New Roman" w:hAnsi="Times New Roman"/>
          <w:color w:val="000000" w:themeColor="text1"/>
          <w:sz w:val="24"/>
          <w:highlight w:val="cyan"/>
        </w:rPr>
        <w:t xml:space="preserve"> initiatives of the European Education Area</w:t>
      </w:r>
      <w:r w:rsidR="006755D7" w:rsidRPr="007A78F6">
        <w:rPr>
          <w:rFonts w:ascii="Times New Roman" w:hAnsi="Times New Roman"/>
          <w:color w:val="000000" w:themeColor="text1"/>
          <w:sz w:val="24"/>
          <w:highlight w:val="cyan"/>
        </w:rPr>
        <w:t>,</w:t>
      </w:r>
      <w:r w:rsidR="006755D7" w:rsidRPr="007A78F6" w:rsidDel="001667C6">
        <w:rPr>
          <w:rFonts w:ascii="Times New Roman" w:hAnsi="Times New Roman"/>
          <w:color w:val="000000" w:themeColor="text1"/>
          <w:sz w:val="24"/>
          <w:highlight w:val="cyan"/>
        </w:rPr>
        <w:t xml:space="preserve"> </w:t>
      </w:r>
      <w:r w:rsidR="006755D7" w:rsidRPr="007A78F6">
        <w:rPr>
          <w:rFonts w:ascii="Times New Roman" w:hAnsi="Times New Roman"/>
          <w:color w:val="000000" w:themeColor="text1"/>
          <w:sz w:val="24"/>
          <w:highlight w:val="cyan"/>
        </w:rPr>
        <w:t xml:space="preserve">and </w:t>
      </w:r>
      <w:r w:rsidR="006755D7" w:rsidRPr="007A78F6" w:rsidDel="001667C6">
        <w:rPr>
          <w:rFonts w:ascii="Times New Roman" w:hAnsi="Times New Roman"/>
          <w:color w:val="000000" w:themeColor="text1"/>
          <w:sz w:val="24"/>
          <w:highlight w:val="cyan"/>
        </w:rPr>
        <w:t>the European Pillar of Social Rights.</w:t>
      </w:r>
      <w:r w:rsidR="006755D7" w:rsidRPr="007A78F6">
        <w:rPr>
          <w:rFonts w:ascii="Times New Roman" w:hAnsi="Times New Roman"/>
          <w:color w:val="000000" w:themeColor="text1"/>
          <w:sz w:val="24"/>
          <w:highlight w:val="cyan"/>
        </w:rPr>
        <w:t xml:space="preserve"> </w:t>
      </w:r>
      <w:r w:rsidR="006755D7" w:rsidRPr="007A78F6">
        <w:rPr>
          <w:rFonts w:ascii="Times New Roman" w:hAnsi="Times New Roman" w:cs="Times New Roman"/>
          <w:bCs/>
          <w:color w:val="000000" w:themeColor="text1"/>
          <w:sz w:val="24"/>
          <w:szCs w:val="24"/>
          <w:highlight w:val="cyan"/>
        </w:rPr>
        <w:t>In this context, the pan-European pension fund for researchers (RESAVER), is an important support to researchers cross-border and cross-</w:t>
      </w:r>
      <w:proofErr w:type="spellStart"/>
      <w:r w:rsidR="006755D7" w:rsidRPr="007A78F6">
        <w:rPr>
          <w:rFonts w:ascii="Times New Roman" w:hAnsi="Times New Roman" w:cs="Times New Roman"/>
          <w:bCs/>
          <w:color w:val="000000" w:themeColor="text1"/>
          <w:sz w:val="24"/>
          <w:szCs w:val="24"/>
          <w:highlight w:val="cyan"/>
        </w:rPr>
        <w:t>sectoral</w:t>
      </w:r>
      <w:proofErr w:type="spellEnd"/>
      <w:r w:rsidR="006755D7" w:rsidRPr="007A78F6">
        <w:rPr>
          <w:rFonts w:ascii="Times New Roman" w:hAnsi="Times New Roman" w:cs="Times New Roman"/>
          <w:bCs/>
          <w:color w:val="000000" w:themeColor="text1"/>
          <w:sz w:val="24"/>
          <w:szCs w:val="24"/>
          <w:highlight w:val="cyan"/>
        </w:rPr>
        <w:t xml:space="preserve"> mobility.</w:t>
      </w:r>
    </w:p>
    <w:p w14:paraId="433868F4" w14:textId="77777777" w:rsidR="006903CA" w:rsidRPr="006340BE" w:rsidRDefault="006903CA" w:rsidP="00F7496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The Commission will:</w:t>
      </w:r>
    </w:p>
    <w:p w14:paraId="661F1E8C" w14:textId="54A2C68E" w:rsidR="006903CA" w:rsidRPr="007A78F6" w:rsidRDefault="00460AE4" w:rsidP="00F74968">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contextualSpacing w:val="0"/>
        <w:jc w:val="both"/>
        <w:rPr>
          <w:rFonts w:ascii="Times New Roman" w:hAnsi="Times New Roman" w:cs="Times New Roman"/>
          <w:color w:val="000000" w:themeColor="text1"/>
          <w:sz w:val="24"/>
          <w:szCs w:val="24"/>
          <w:highlight w:val="yellow"/>
          <w:u w:val="single"/>
        </w:rPr>
      </w:pPr>
      <w:r w:rsidRPr="007A78F6">
        <w:rPr>
          <w:rFonts w:ascii="Times New Roman" w:hAnsi="Times New Roman" w:cs="Times New Roman"/>
          <w:color w:val="000000" w:themeColor="text1"/>
          <w:sz w:val="24"/>
          <w:szCs w:val="24"/>
          <w:highlight w:val="yellow"/>
        </w:rPr>
        <w:t>D</w:t>
      </w:r>
      <w:r w:rsidR="00FB73F8" w:rsidRPr="007A78F6">
        <w:rPr>
          <w:rFonts w:ascii="Times New Roman" w:hAnsi="Times New Roman" w:cs="Times New Roman"/>
          <w:color w:val="000000" w:themeColor="text1"/>
          <w:sz w:val="24"/>
          <w:szCs w:val="24"/>
          <w:highlight w:val="yellow"/>
        </w:rPr>
        <w:t>eliver</w:t>
      </w:r>
      <w:r w:rsidR="009E3399" w:rsidRPr="007A78F6">
        <w:rPr>
          <w:rFonts w:ascii="Times New Roman" w:hAnsi="Times New Roman" w:cs="Times New Roman"/>
          <w:color w:val="000000" w:themeColor="text1"/>
          <w:sz w:val="24"/>
          <w:szCs w:val="24"/>
          <w:highlight w:val="yellow"/>
        </w:rPr>
        <w:t>,</w:t>
      </w:r>
      <w:r w:rsidR="00FB73F8" w:rsidRPr="007A78F6">
        <w:rPr>
          <w:rFonts w:ascii="Times New Roman" w:hAnsi="Times New Roman" w:cs="Times New Roman"/>
          <w:color w:val="000000" w:themeColor="text1"/>
          <w:sz w:val="24"/>
          <w:szCs w:val="24"/>
          <w:highlight w:val="yellow"/>
        </w:rPr>
        <w:t xml:space="preserve"> </w:t>
      </w:r>
      <w:r w:rsidRPr="007A78F6">
        <w:rPr>
          <w:rFonts w:ascii="Times New Roman" w:hAnsi="Times New Roman" w:cs="Times New Roman"/>
          <w:color w:val="000000" w:themeColor="text1"/>
          <w:sz w:val="24"/>
          <w:szCs w:val="24"/>
          <w:highlight w:val="yellow"/>
        </w:rPr>
        <w:t xml:space="preserve">by </w:t>
      </w:r>
      <w:r w:rsidR="009E3399" w:rsidRPr="007A78F6">
        <w:rPr>
          <w:rFonts w:ascii="Times New Roman" w:hAnsi="Times New Roman" w:cs="Times New Roman"/>
          <w:color w:val="000000" w:themeColor="text1"/>
          <w:sz w:val="24"/>
          <w:szCs w:val="24"/>
          <w:highlight w:val="yellow"/>
        </w:rPr>
        <w:t xml:space="preserve">the </w:t>
      </w:r>
      <w:r w:rsidRPr="007A78F6">
        <w:rPr>
          <w:rFonts w:ascii="Times New Roman" w:hAnsi="Times New Roman" w:cs="Times New Roman"/>
          <w:color w:val="000000" w:themeColor="text1"/>
          <w:sz w:val="24"/>
          <w:szCs w:val="24"/>
          <w:highlight w:val="yellow"/>
        </w:rPr>
        <w:t>end of 202</w:t>
      </w:r>
      <w:r w:rsidR="00AE69A5" w:rsidRPr="007A78F6">
        <w:rPr>
          <w:rFonts w:ascii="Times New Roman" w:hAnsi="Times New Roman" w:cs="Times New Roman"/>
          <w:color w:val="000000" w:themeColor="text1"/>
          <w:sz w:val="24"/>
          <w:szCs w:val="24"/>
          <w:highlight w:val="yellow"/>
        </w:rPr>
        <w:t>4</w:t>
      </w:r>
      <w:r w:rsidRPr="007A78F6">
        <w:rPr>
          <w:rFonts w:ascii="Times New Roman" w:hAnsi="Times New Roman" w:cs="Times New Roman"/>
          <w:color w:val="000000" w:themeColor="text1"/>
          <w:sz w:val="24"/>
          <w:szCs w:val="24"/>
          <w:highlight w:val="yellow"/>
        </w:rPr>
        <w:t xml:space="preserve">, </w:t>
      </w:r>
      <w:r w:rsidR="00FB73F8" w:rsidRPr="007A78F6">
        <w:rPr>
          <w:rFonts w:ascii="Times New Roman" w:hAnsi="Times New Roman" w:cs="Times New Roman"/>
          <w:color w:val="000000" w:themeColor="text1"/>
          <w:sz w:val="24"/>
          <w:szCs w:val="24"/>
          <w:highlight w:val="yellow"/>
        </w:rPr>
        <w:t xml:space="preserve">in partnership </w:t>
      </w:r>
      <w:r w:rsidR="00C51AC1" w:rsidRPr="007A78F6">
        <w:rPr>
          <w:rFonts w:ascii="Times New Roman" w:hAnsi="Times New Roman" w:cs="Times New Roman"/>
          <w:color w:val="000000" w:themeColor="text1"/>
          <w:sz w:val="24"/>
          <w:szCs w:val="24"/>
          <w:highlight w:val="yellow"/>
        </w:rPr>
        <w:t>with Member States</w:t>
      </w:r>
      <w:r w:rsidR="005B3A4F" w:rsidRPr="007A78F6">
        <w:rPr>
          <w:rFonts w:ascii="Times New Roman" w:hAnsi="Times New Roman" w:cs="Times New Roman"/>
          <w:color w:val="000000" w:themeColor="text1"/>
          <w:sz w:val="24"/>
          <w:szCs w:val="24"/>
          <w:highlight w:val="yellow"/>
        </w:rPr>
        <w:t xml:space="preserve"> and research organisations</w:t>
      </w:r>
      <w:r w:rsidR="00C51AC1" w:rsidRPr="007A78F6">
        <w:rPr>
          <w:rFonts w:ascii="Times New Roman" w:hAnsi="Times New Roman" w:cs="Times New Roman"/>
          <w:color w:val="000000" w:themeColor="text1"/>
          <w:sz w:val="24"/>
          <w:szCs w:val="24"/>
          <w:highlight w:val="yellow"/>
        </w:rPr>
        <w:t xml:space="preserve">, </w:t>
      </w:r>
      <w:r w:rsidR="00FB73F8" w:rsidRPr="007A78F6">
        <w:rPr>
          <w:rFonts w:ascii="Times New Roman" w:hAnsi="Times New Roman" w:cs="Times New Roman"/>
          <w:color w:val="000000" w:themeColor="text1"/>
          <w:sz w:val="24"/>
          <w:szCs w:val="24"/>
          <w:highlight w:val="yellow"/>
        </w:rPr>
        <w:t xml:space="preserve">a toolbox of support for </w:t>
      </w:r>
      <w:proofErr w:type="gramStart"/>
      <w:r w:rsidR="00FB73F8" w:rsidRPr="007A78F6">
        <w:rPr>
          <w:rFonts w:ascii="Times New Roman" w:hAnsi="Times New Roman" w:cs="Times New Roman"/>
          <w:color w:val="000000" w:themeColor="text1"/>
          <w:sz w:val="24"/>
          <w:szCs w:val="24"/>
          <w:highlight w:val="yellow"/>
        </w:rPr>
        <w:t>researchers</w:t>
      </w:r>
      <w:proofErr w:type="gramEnd"/>
      <w:r w:rsidR="00FB73F8" w:rsidRPr="007A78F6">
        <w:rPr>
          <w:rFonts w:ascii="Times New Roman" w:hAnsi="Times New Roman" w:cs="Times New Roman"/>
          <w:color w:val="000000" w:themeColor="text1"/>
          <w:sz w:val="24"/>
          <w:szCs w:val="24"/>
          <w:highlight w:val="yellow"/>
        </w:rPr>
        <w:t xml:space="preserve"> careers</w:t>
      </w:r>
      <w:r w:rsidRPr="007A78F6">
        <w:rPr>
          <w:rFonts w:ascii="Times New Roman" w:hAnsi="Times New Roman" w:cs="Times New Roman"/>
          <w:color w:val="000000" w:themeColor="text1"/>
          <w:sz w:val="24"/>
          <w:szCs w:val="24"/>
          <w:highlight w:val="yellow"/>
        </w:rPr>
        <w:t xml:space="preserve"> </w:t>
      </w:r>
      <w:r w:rsidR="006B2350" w:rsidRPr="007A78F6">
        <w:rPr>
          <w:rFonts w:ascii="Times New Roman" w:hAnsi="Times New Roman" w:cs="Times New Roman"/>
          <w:color w:val="000000" w:themeColor="text1"/>
          <w:sz w:val="24"/>
          <w:szCs w:val="24"/>
          <w:highlight w:val="yellow"/>
        </w:rPr>
        <w:t>with the following components: (</w:t>
      </w:r>
      <w:proofErr w:type="spellStart"/>
      <w:r w:rsidR="006B2350" w:rsidRPr="007A78F6">
        <w:rPr>
          <w:rFonts w:ascii="Times New Roman" w:hAnsi="Times New Roman" w:cs="Times New Roman"/>
          <w:color w:val="000000" w:themeColor="text1"/>
          <w:sz w:val="24"/>
          <w:szCs w:val="24"/>
          <w:highlight w:val="yellow"/>
        </w:rPr>
        <w:t>i</w:t>
      </w:r>
      <w:proofErr w:type="spellEnd"/>
      <w:r w:rsidR="006B2350" w:rsidRPr="007A78F6">
        <w:rPr>
          <w:rFonts w:ascii="Times New Roman" w:hAnsi="Times New Roman" w:cs="Times New Roman"/>
          <w:color w:val="000000" w:themeColor="text1"/>
          <w:sz w:val="24"/>
          <w:szCs w:val="24"/>
          <w:highlight w:val="yellow"/>
        </w:rPr>
        <w:t xml:space="preserve">) a </w:t>
      </w:r>
      <w:r w:rsidR="00AF6507" w:rsidRPr="007A78F6">
        <w:rPr>
          <w:rFonts w:ascii="Times New Roman" w:hAnsi="Times New Roman" w:cs="Times New Roman"/>
          <w:color w:val="000000" w:themeColor="text1"/>
          <w:sz w:val="24"/>
          <w:szCs w:val="24"/>
          <w:highlight w:val="yellow"/>
        </w:rPr>
        <w:t>Researchers</w:t>
      </w:r>
      <w:r w:rsidR="006B2350" w:rsidRPr="007A78F6">
        <w:rPr>
          <w:rFonts w:ascii="Times New Roman" w:hAnsi="Times New Roman" w:cs="Times New Roman"/>
          <w:color w:val="000000" w:themeColor="text1"/>
          <w:sz w:val="24"/>
          <w:szCs w:val="24"/>
          <w:highlight w:val="yellow"/>
        </w:rPr>
        <w:t xml:space="preserve"> Competence Framework, (ii) a mobility scheme to support exchange between industry and academia, (iii)</w:t>
      </w:r>
      <w:r w:rsidR="005B3A4F" w:rsidRPr="007A78F6">
        <w:rPr>
          <w:rFonts w:ascii="Times New Roman" w:hAnsi="Times New Roman" w:cs="Times New Roman"/>
          <w:color w:val="000000" w:themeColor="text1"/>
          <w:sz w:val="24"/>
          <w:szCs w:val="24"/>
          <w:highlight w:val="yellow"/>
        </w:rPr>
        <w:t xml:space="preserve"> </w:t>
      </w:r>
      <w:r w:rsidR="006B2350" w:rsidRPr="007A78F6">
        <w:rPr>
          <w:rFonts w:ascii="Times New Roman" w:hAnsi="Times New Roman" w:cs="Times New Roman"/>
          <w:color w:val="000000" w:themeColor="text1"/>
          <w:sz w:val="24"/>
          <w:szCs w:val="24"/>
          <w:highlight w:val="yellow"/>
        </w:rPr>
        <w:t xml:space="preserve">targeted training under </w:t>
      </w:r>
      <w:r w:rsidR="00AF6507" w:rsidRPr="007A78F6">
        <w:rPr>
          <w:rFonts w:ascii="Times New Roman" w:hAnsi="Times New Roman" w:cs="Times New Roman"/>
          <w:color w:val="000000" w:themeColor="text1"/>
          <w:sz w:val="24"/>
          <w:szCs w:val="24"/>
          <w:highlight w:val="yellow"/>
        </w:rPr>
        <w:t>Horizon</w:t>
      </w:r>
      <w:r w:rsidR="006B2350" w:rsidRPr="007A78F6">
        <w:rPr>
          <w:rFonts w:ascii="Times New Roman" w:hAnsi="Times New Roman" w:cs="Times New Roman"/>
          <w:color w:val="000000" w:themeColor="text1"/>
          <w:sz w:val="24"/>
          <w:szCs w:val="24"/>
          <w:highlight w:val="yellow"/>
        </w:rPr>
        <w:t xml:space="preserve"> Europe and (iv) a one-stop shop portal.</w:t>
      </w:r>
      <w:r w:rsidR="00C51AC1" w:rsidRPr="007A78F6">
        <w:rPr>
          <w:rFonts w:ascii="Times New Roman" w:hAnsi="Times New Roman" w:cs="Times New Roman"/>
          <w:color w:val="000000" w:themeColor="text1"/>
          <w:sz w:val="24"/>
          <w:szCs w:val="24"/>
          <w:highlight w:val="yellow"/>
        </w:rPr>
        <w:t xml:space="preserve"> </w:t>
      </w:r>
      <w:r w:rsidR="005B3A4F" w:rsidRPr="007A78F6">
        <w:rPr>
          <w:rFonts w:ascii="Times New Roman" w:hAnsi="Times New Roman" w:cs="Times New Roman"/>
          <w:color w:val="000000" w:themeColor="text1"/>
          <w:sz w:val="24"/>
          <w:szCs w:val="24"/>
          <w:highlight w:val="yellow"/>
        </w:rPr>
        <w:t>The toolbox will lead to the creation of</w:t>
      </w:r>
      <w:r w:rsidR="00867176" w:rsidRPr="007A78F6">
        <w:rPr>
          <w:rFonts w:ascii="Times New Roman" w:hAnsi="Times New Roman" w:cs="Times New Roman"/>
          <w:color w:val="000000" w:themeColor="text1"/>
          <w:sz w:val="24"/>
          <w:szCs w:val="24"/>
          <w:highlight w:val="yellow"/>
        </w:rPr>
        <w:t xml:space="preserve"> a</w:t>
      </w:r>
      <w:r w:rsidR="00CA1776" w:rsidRPr="007A78F6">
        <w:rPr>
          <w:rFonts w:ascii="Times New Roman" w:hAnsi="Times New Roman" w:cs="Times New Roman"/>
          <w:color w:val="000000" w:themeColor="text1"/>
          <w:sz w:val="24"/>
          <w:szCs w:val="24"/>
          <w:highlight w:val="yellow"/>
        </w:rPr>
        <w:t xml:space="preserve"> pipeline for talent</w:t>
      </w:r>
      <w:r w:rsidR="00867176" w:rsidRPr="007A78F6">
        <w:rPr>
          <w:rFonts w:ascii="Times New Roman" w:hAnsi="Times New Roman" w:cs="Times New Roman"/>
          <w:color w:val="000000" w:themeColor="text1"/>
          <w:sz w:val="24"/>
          <w:szCs w:val="24"/>
          <w:highlight w:val="yellow"/>
        </w:rPr>
        <w:t>.</w:t>
      </w:r>
    </w:p>
    <w:p w14:paraId="52E3CCC1" w14:textId="77777777" w:rsidR="00996192" w:rsidRPr="006340BE" w:rsidRDefault="00996192" w:rsidP="00F74968">
      <w:pPr>
        <w:spacing w:before="120" w:after="0" w:line="240" w:lineRule="auto"/>
        <w:jc w:val="both"/>
        <w:rPr>
          <w:rFonts w:ascii="Times New Roman" w:hAnsi="Times New Roman" w:cs="Times New Roman"/>
          <w:color w:val="000000" w:themeColor="text1"/>
          <w:sz w:val="24"/>
          <w:szCs w:val="24"/>
          <w:u w:val="single"/>
        </w:rPr>
      </w:pPr>
      <w:r w:rsidRPr="006340BE">
        <w:rPr>
          <w:rFonts w:ascii="Times New Roman" w:hAnsi="Times New Roman" w:cs="Times New Roman"/>
          <w:color w:val="000000" w:themeColor="text1"/>
          <w:sz w:val="24"/>
          <w:szCs w:val="24"/>
          <w:u w:val="single"/>
        </w:rPr>
        <w:t>Open Science</w:t>
      </w:r>
    </w:p>
    <w:p w14:paraId="2F98FEA0" w14:textId="729164C3" w:rsidR="0006643A" w:rsidRPr="006340BE" w:rsidRDefault="0006643A" w:rsidP="00B95C1A">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 xml:space="preserve">Open science makes the R&amp;I systems more efficient and creative and reinforces </w:t>
      </w:r>
      <w:r w:rsidR="0044632F">
        <w:rPr>
          <w:rFonts w:ascii="Times New Roman" w:hAnsi="Times New Roman" w:cs="Times New Roman"/>
          <w:bCs/>
          <w:color w:val="000000" w:themeColor="text1"/>
          <w:sz w:val="24"/>
          <w:szCs w:val="24"/>
        </w:rPr>
        <w:t xml:space="preserve">excellence and </w:t>
      </w:r>
      <w:r w:rsidRPr="006340BE">
        <w:rPr>
          <w:rFonts w:ascii="Times New Roman" w:hAnsi="Times New Roman" w:cs="Times New Roman"/>
          <w:bCs/>
          <w:color w:val="000000" w:themeColor="text1"/>
          <w:sz w:val="24"/>
          <w:szCs w:val="24"/>
        </w:rPr>
        <w:t>society´s trust in science. This is because open</w:t>
      </w:r>
      <w:r w:rsidR="0044632F">
        <w:rPr>
          <w:rFonts w:ascii="Times New Roman" w:hAnsi="Times New Roman" w:cs="Times New Roman"/>
          <w:bCs/>
          <w:color w:val="000000" w:themeColor="text1"/>
          <w:sz w:val="24"/>
          <w:szCs w:val="24"/>
        </w:rPr>
        <w:t>ing and sharing</w:t>
      </w:r>
      <w:r w:rsidRPr="006340BE">
        <w:rPr>
          <w:rFonts w:ascii="Times New Roman" w:hAnsi="Times New Roman" w:cs="Times New Roman"/>
          <w:bCs/>
          <w:color w:val="000000" w:themeColor="text1"/>
          <w:sz w:val="24"/>
          <w:szCs w:val="24"/>
        </w:rPr>
        <w:t xml:space="preserve"> research results</w:t>
      </w:r>
      <w:r w:rsidR="0044632F">
        <w:rPr>
          <w:rFonts w:ascii="Times New Roman" w:hAnsi="Times New Roman" w:cs="Times New Roman"/>
          <w:bCs/>
          <w:color w:val="000000" w:themeColor="text1"/>
          <w:sz w:val="24"/>
          <w:szCs w:val="24"/>
        </w:rPr>
        <w:t xml:space="preserve"> and </w:t>
      </w:r>
      <w:r w:rsidRPr="006340BE">
        <w:rPr>
          <w:rFonts w:ascii="Times New Roman" w:hAnsi="Times New Roman" w:cs="Times New Roman"/>
          <w:bCs/>
          <w:color w:val="000000" w:themeColor="text1"/>
          <w:sz w:val="24"/>
          <w:szCs w:val="24"/>
        </w:rPr>
        <w:t>data</w:t>
      </w:r>
      <w:r w:rsidR="0044632F">
        <w:rPr>
          <w:rFonts w:ascii="Times New Roman" w:hAnsi="Times New Roman" w:cs="Times New Roman"/>
          <w:bCs/>
          <w:color w:val="000000" w:themeColor="text1"/>
          <w:sz w:val="24"/>
          <w:szCs w:val="24"/>
        </w:rPr>
        <w:t>, making them reusable and reproducible,</w:t>
      </w:r>
      <w:r w:rsidRPr="006340BE">
        <w:rPr>
          <w:rFonts w:ascii="Times New Roman" w:hAnsi="Times New Roman" w:cs="Times New Roman"/>
          <w:bCs/>
          <w:color w:val="000000" w:themeColor="text1"/>
          <w:sz w:val="24"/>
          <w:szCs w:val="24"/>
        </w:rPr>
        <w:t xml:space="preserve"> and having access to research infrastructures provides the basis </w:t>
      </w:r>
      <w:r w:rsidR="0044632F">
        <w:rPr>
          <w:rFonts w:ascii="Times New Roman" w:hAnsi="Times New Roman" w:cs="Times New Roman"/>
          <w:bCs/>
          <w:color w:val="000000" w:themeColor="text1"/>
          <w:sz w:val="24"/>
          <w:szCs w:val="24"/>
        </w:rPr>
        <w:t>for</w:t>
      </w:r>
      <w:r w:rsidR="0044632F" w:rsidRPr="006340BE">
        <w:rPr>
          <w:rFonts w:ascii="Times New Roman" w:hAnsi="Times New Roman" w:cs="Times New Roman"/>
          <w:bCs/>
          <w:color w:val="000000" w:themeColor="text1"/>
          <w:sz w:val="24"/>
          <w:szCs w:val="24"/>
        </w:rPr>
        <w:t xml:space="preserve"> </w:t>
      </w:r>
      <w:r w:rsidRPr="006340BE">
        <w:rPr>
          <w:rFonts w:ascii="Times New Roman" w:hAnsi="Times New Roman" w:cs="Times New Roman"/>
          <w:bCs/>
          <w:color w:val="000000" w:themeColor="text1"/>
          <w:sz w:val="24"/>
          <w:szCs w:val="24"/>
        </w:rPr>
        <w:t>peer scrutiny and quality, as well as efficiency in taking research reflections, analysis and innovation further.</w:t>
      </w:r>
    </w:p>
    <w:p w14:paraId="381CBC64" w14:textId="134D4AB8" w:rsidR="0044632F" w:rsidRDefault="00812AA5" w:rsidP="00B95C1A">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First, t</w:t>
      </w:r>
      <w:r w:rsidR="0006643A" w:rsidRPr="006340BE">
        <w:rPr>
          <w:rFonts w:ascii="Times New Roman" w:hAnsi="Times New Roman" w:cs="Times New Roman"/>
          <w:bCs/>
          <w:color w:val="000000" w:themeColor="text1"/>
          <w:sz w:val="24"/>
          <w:szCs w:val="24"/>
        </w:rPr>
        <w:t xml:space="preserve">he Commission has already taken steps towards Open Science.  </w:t>
      </w:r>
      <w:r w:rsidR="0006643A" w:rsidRPr="007A78F6">
        <w:rPr>
          <w:rFonts w:ascii="Times New Roman" w:hAnsi="Times New Roman" w:cs="Times New Roman"/>
          <w:bCs/>
          <w:color w:val="000000" w:themeColor="text1"/>
          <w:sz w:val="24"/>
          <w:szCs w:val="24"/>
          <w:highlight w:val="yellow"/>
        </w:rPr>
        <w:t xml:space="preserve">The </w:t>
      </w:r>
      <w:r w:rsidR="0006643A" w:rsidRPr="007A78F6">
        <w:rPr>
          <w:rFonts w:ascii="Times New Roman" w:hAnsi="Times New Roman" w:cs="Times New Roman"/>
          <w:bCs/>
          <w:i/>
          <w:iCs/>
          <w:color w:val="000000" w:themeColor="text1"/>
          <w:sz w:val="24"/>
          <w:szCs w:val="24"/>
          <w:highlight w:val="yellow"/>
        </w:rPr>
        <w:t>European Open Science Cloud</w:t>
      </w:r>
      <w:r w:rsidR="0006643A" w:rsidRPr="007A78F6">
        <w:rPr>
          <w:rFonts w:ascii="Times New Roman" w:hAnsi="Times New Roman" w:cs="Times New Roman"/>
          <w:bCs/>
          <w:color w:val="000000" w:themeColor="text1"/>
          <w:sz w:val="24"/>
          <w:szCs w:val="24"/>
          <w:highlight w:val="yellow"/>
        </w:rPr>
        <w:t xml:space="preserve"> (EOSC) is being built to become a common, federated, European framework for openly sharing research data and accessing services.</w:t>
      </w:r>
      <w:r w:rsidR="0044632F">
        <w:rPr>
          <w:rFonts w:ascii="Times New Roman" w:hAnsi="Times New Roman" w:cs="Times New Roman"/>
          <w:bCs/>
          <w:color w:val="000000" w:themeColor="text1"/>
          <w:sz w:val="24"/>
          <w:szCs w:val="24"/>
        </w:rPr>
        <w:t xml:space="preserve"> I</w:t>
      </w:r>
      <w:r w:rsidR="0006643A" w:rsidRPr="006340BE">
        <w:rPr>
          <w:rFonts w:ascii="Times New Roman" w:hAnsi="Times New Roman" w:cs="Times New Roman"/>
          <w:bCs/>
          <w:color w:val="000000" w:themeColor="text1"/>
          <w:sz w:val="24"/>
          <w:szCs w:val="24"/>
        </w:rPr>
        <w:t xml:space="preserve">n the medium term, </w:t>
      </w:r>
      <w:r w:rsidR="00DA452F">
        <w:rPr>
          <w:rFonts w:ascii="Times New Roman" w:hAnsi="Times New Roman" w:cs="Times New Roman"/>
          <w:bCs/>
          <w:color w:val="000000" w:themeColor="text1"/>
          <w:sz w:val="24"/>
          <w:szCs w:val="24"/>
        </w:rPr>
        <w:t xml:space="preserve">EOSC </w:t>
      </w:r>
      <w:r w:rsidR="0006643A" w:rsidRPr="006340BE">
        <w:rPr>
          <w:rFonts w:ascii="Times New Roman" w:hAnsi="Times New Roman" w:cs="Times New Roman"/>
          <w:bCs/>
          <w:color w:val="000000" w:themeColor="text1"/>
          <w:sz w:val="24"/>
          <w:szCs w:val="24"/>
        </w:rPr>
        <w:t xml:space="preserve">will </w:t>
      </w:r>
      <w:r w:rsidR="00DA452F">
        <w:rPr>
          <w:rFonts w:ascii="Times New Roman" w:hAnsi="Times New Roman" w:cs="Times New Roman"/>
          <w:bCs/>
          <w:color w:val="000000" w:themeColor="text1"/>
          <w:sz w:val="24"/>
          <w:szCs w:val="24"/>
        </w:rPr>
        <w:t>grow into</w:t>
      </w:r>
      <w:r w:rsidR="0044632F" w:rsidRPr="006340BE">
        <w:rPr>
          <w:rFonts w:ascii="Times New Roman" w:hAnsi="Times New Roman" w:cs="Times New Roman"/>
          <w:bCs/>
          <w:color w:val="000000" w:themeColor="text1"/>
          <w:sz w:val="24"/>
          <w:szCs w:val="24"/>
        </w:rPr>
        <w:t xml:space="preserve"> </w:t>
      </w:r>
      <w:r w:rsidR="0006643A" w:rsidRPr="006340BE">
        <w:rPr>
          <w:rFonts w:ascii="Times New Roman" w:hAnsi="Times New Roman" w:cs="Times New Roman"/>
          <w:bCs/>
          <w:color w:val="000000" w:themeColor="text1"/>
          <w:sz w:val="24"/>
          <w:szCs w:val="24"/>
        </w:rPr>
        <w:t xml:space="preserve">a trusted research and innovation data space and service platform in Europe </w:t>
      </w:r>
      <w:r w:rsidR="0044632F">
        <w:rPr>
          <w:rFonts w:ascii="Times New Roman" w:hAnsi="Times New Roman" w:cs="Times New Roman"/>
          <w:bCs/>
          <w:color w:val="000000" w:themeColor="text1"/>
          <w:sz w:val="24"/>
          <w:szCs w:val="24"/>
        </w:rPr>
        <w:t xml:space="preserve">that is </w:t>
      </w:r>
      <w:r w:rsidR="0006643A" w:rsidRPr="006340BE">
        <w:rPr>
          <w:rFonts w:ascii="Times New Roman" w:hAnsi="Times New Roman" w:cs="Times New Roman"/>
          <w:bCs/>
          <w:color w:val="000000" w:themeColor="text1"/>
          <w:sz w:val="24"/>
          <w:szCs w:val="24"/>
        </w:rPr>
        <w:t xml:space="preserve">fully articulated with </w:t>
      </w:r>
      <w:proofErr w:type="spellStart"/>
      <w:r w:rsidR="0006643A" w:rsidRPr="006340BE">
        <w:rPr>
          <w:rFonts w:ascii="Times New Roman" w:hAnsi="Times New Roman" w:cs="Times New Roman"/>
          <w:bCs/>
          <w:color w:val="000000" w:themeColor="text1"/>
          <w:sz w:val="24"/>
          <w:szCs w:val="24"/>
        </w:rPr>
        <w:t>sectoral</w:t>
      </w:r>
      <w:proofErr w:type="spellEnd"/>
      <w:r w:rsidR="0006643A" w:rsidRPr="006340BE">
        <w:rPr>
          <w:rFonts w:ascii="Times New Roman" w:hAnsi="Times New Roman" w:cs="Times New Roman"/>
          <w:bCs/>
          <w:color w:val="000000" w:themeColor="text1"/>
          <w:sz w:val="24"/>
          <w:szCs w:val="24"/>
        </w:rPr>
        <w:t xml:space="preserve"> data spaces such as the common European health data space</w:t>
      </w:r>
      <w:r w:rsidR="0044632F">
        <w:rPr>
          <w:rFonts w:ascii="Times New Roman" w:hAnsi="Times New Roman" w:cs="Times New Roman"/>
          <w:bCs/>
          <w:color w:val="000000" w:themeColor="text1"/>
          <w:sz w:val="24"/>
          <w:szCs w:val="24"/>
        </w:rPr>
        <w:t>, and open up and connect with the wider public and private sectors</w:t>
      </w:r>
      <w:r w:rsidR="0006643A" w:rsidRPr="006340BE">
        <w:rPr>
          <w:rFonts w:ascii="Times New Roman" w:hAnsi="Times New Roman" w:cs="Times New Roman"/>
          <w:bCs/>
          <w:color w:val="000000" w:themeColor="text1"/>
          <w:sz w:val="24"/>
          <w:szCs w:val="24"/>
        </w:rPr>
        <w:t>.</w:t>
      </w:r>
      <w:r w:rsidR="00B95C1A" w:rsidRPr="006340BE">
        <w:rPr>
          <w:rFonts w:ascii="Times New Roman" w:hAnsi="Times New Roman" w:cs="Times New Roman"/>
          <w:bCs/>
          <w:color w:val="000000" w:themeColor="text1"/>
          <w:sz w:val="24"/>
          <w:szCs w:val="24"/>
        </w:rPr>
        <w:t xml:space="preserve"> </w:t>
      </w:r>
    </w:p>
    <w:p w14:paraId="75D71FC0" w14:textId="0FFC45A3" w:rsidR="00B95C1A" w:rsidRPr="006340BE" w:rsidRDefault="00B95C1A" w:rsidP="00B95C1A">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Furthermore, the European Strategy for Data recognised the good experience with</w:t>
      </w:r>
      <w:r w:rsidR="00DA452F">
        <w:rPr>
          <w:rFonts w:ascii="Times New Roman" w:hAnsi="Times New Roman" w:cs="Times New Roman"/>
          <w:bCs/>
          <w:color w:val="000000" w:themeColor="text1"/>
          <w:sz w:val="24"/>
          <w:szCs w:val="24"/>
        </w:rPr>
        <w:t xml:space="preserve"> the</w:t>
      </w:r>
      <w:r w:rsidRPr="006340BE">
        <w:rPr>
          <w:rFonts w:ascii="Times New Roman" w:hAnsi="Times New Roman" w:cs="Times New Roman"/>
          <w:bCs/>
          <w:color w:val="000000" w:themeColor="text1"/>
          <w:sz w:val="24"/>
          <w:szCs w:val="24"/>
        </w:rPr>
        <w:t xml:space="preserve"> </w:t>
      </w:r>
      <w:r w:rsidR="0044632F">
        <w:rPr>
          <w:rFonts w:ascii="Times New Roman" w:hAnsi="Times New Roman" w:cs="Times New Roman"/>
          <w:bCs/>
          <w:color w:val="000000" w:themeColor="text1"/>
          <w:sz w:val="24"/>
          <w:szCs w:val="24"/>
        </w:rPr>
        <w:t>E</w:t>
      </w:r>
      <w:r w:rsidR="00DA452F">
        <w:rPr>
          <w:rFonts w:ascii="Times New Roman" w:hAnsi="Times New Roman" w:cs="Times New Roman"/>
          <w:bCs/>
          <w:color w:val="000000" w:themeColor="text1"/>
          <w:sz w:val="24"/>
          <w:szCs w:val="24"/>
        </w:rPr>
        <w:t xml:space="preserve">uropean </w:t>
      </w:r>
      <w:r w:rsidR="0044632F">
        <w:rPr>
          <w:rFonts w:ascii="Times New Roman" w:hAnsi="Times New Roman" w:cs="Times New Roman"/>
          <w:bCs/>
          <w:color w:val="000000" w:themeColor="text1"/>
          <w:sz w:val="24"/>
          <w:szCs w:val="24"/>
        </w:rPr>
        <w:t>O</w:t>
      </w:r>
      <w:r w:rsidR="00DA452F">
        <w:rPr>
          <w:rFonts w:ascii="Times New Roman" w:hAnsi="Times New Roman" w:cs="Times New Roman"/>
          <w:bCs/>
          <w:color w:val="000000" w:themeColor="text1"/>
          <w:sz w:val="24"/>
          <w:szCs w:val="24"/>
        </w:rPr>
        <w:t xml:space="preserve">pen </w:t>
      </w:r>
      <w:r w:rsidR="0044632F">
        <w:rPr>
          <w:rFonts w:ascii="Times New Roman" w:hAnsi="Times New Roman" w:cs="Times New Roman"/>
          <w:bCs/>
          <w:color w:val="000000" w:themeColor="text1"/>
          <w:sz w:val="24"/>
          <w:szCs w:val="24"/>
        </w:rPr>
        <w:t>S</w:t>
      </w:r>
      <w:r w:rsidR="00DA452F">
        <w:rPr>
          <w:rFonts w:ascii="Times New Roman" w:hAnsi="Times New Roman" w:cs="Times New Roman"/>
          <w:bCs/>
          <w:color w:val="000000" w:themeColor="text1"/>
          <w:sz w:val="24"/>
          <w:szCs w:val="24"/>
        </w:rPr>
        <w:t xml:space="preserve">cience </w:t>
      </w:r>
      <w:r w:rsidR="0044632F">
        <w:rPr>
          <w:rFonts w:ascii="Times New Roman" w:hAnsi="Times New Roman" w:cs="Times New Roman"/>
          <w:bCs/>
          <w:color w:val="000000" w:themeColor="text1"/>
          <w:sz w:val="24"/>
          <w:szCs w:val="24"/>
        </w:rPr>
        <w:t>C</w:t>
      </w:r>
      <w:r w:rsidR="00DA452F">
        <w:rPr>
          <w:rFonts w:ascii="Times New Roman" w:hAnsi="Times New Roman" w:cs="Times New Roman"/>
          <w:bCs/>
          <w:color w:val="000000" w:themeColor="text1"/>
          <w:sz w:val="24"/>
          <w:szCs w:val="24"/>
        </w:rPr>
        <w:t>loud</w:t>
      </w:r>
      <w:r w:rsidRPr="006340BE">
        <w:rPr>
          <w:rFonts w:ascii="Times New Roman" w:hAnsi="Times New Roman" w:cs="Times New Roman"/>
          <w:bCs/>
          <w:color w:val="000000" w:themeColor="text1"/>
          <w:sz w:val="24"/>
          <w:szCs w:val="24"/>
        </w:rPr>
        <w:t xml:space="preserve"> and set out the way to develop it further, ultimately opening it up beyond research communities</w:t>
      </w:r>
      <w:r w:rsidRPr="006340BE">
        <w:rPr>
          <w:rStyle w:val="FootnoteReference"/>
          <w:rFonts w:ascii="Times New Roman" w:hAnsi="Times New Roman" w:cs="Times New Roman"/>
          <w:bCs/>
          <w:color w:val="000000" w:themeColor="text1"/>
          <w:sz w:val="24"/>
          <w:szCs w:val="24"/>
        </w:rPr>
        <w:footnoteReference w:id="47"/>
      </w:r>
      <w:r w:rsidR="0044632F">
        <w:rPr>
          <w:rFonts w:ascii="Times New Roman" w:hAnsi="Times New Roman" w:cs="Times New Roman"/>
          <w:bCs/>
          <w:color w:val="000000" w:themeColor="text1"/>
          <w:sz w:val="24"/>
          <w:szCs w:val="24"/>
        </w:rPr>
        <w:t>, and t</w:t>
      </w:r>
      <w:r w:rsidR="0044632F" w:rsidRPr="006340BE">
        <w:rPr>
          <w:rFonts w:ascii="Times New Roman" w:hAnsi="Times New Roman" w:cs="Times New Roman"/>
          <w:bCs/>
          <w:color w:val="000000" w:themeColor="text1"/>
          <w:sz w:val="24"/>
          <w:szCs w:val="24"/>
        </w:rPr>
        <w:t>he European COVID-19 Data Platform</w:t>
      </w:r>
      <w:r w:rsidR="0044632F" w:rsidRPr="006340BE">
        <w:rPr>
          <w:rStyle w:val="FootnoteReference"/>
          <w:rFonts w:ascii="Times New Roman" w:hAnsi="Times New Roman" w:cs="Times New Roman"/>
          <w:bCs/>
          <w:color w:val="000000" w:themeColor="text1"/>
          <w:sz w:val="24"/>
          <w:szCs w:val="24"/>
        </w:rPr>
        <w:footnoteReference w:id="48"/>
      </w:r>
      <w:r w:rsidR="0044632F" w:rsidRPr="006340BE">
        <w:rPr>
          <w:rFonts w:ascii="Times New Roman" w:hAnsi="Times New Roman" w:cs="Times New Roman"/>
          <w:bCs/>
          <w:color w:val="000000" w:themeColor="text1"/>
          <w:sz w:val="24"/>
          <w:szCs w:val="24"/>
        </w:rPr>
        <w:t xml:space="preserve"> demonstrated the importance of such open approaches and infrastructure</w:t>
      </w:r>
      <w:r w:rsidR="0044632F">
        <w:rPr>
          <w:rFonts w:ascii="Times New Roman" w:hAnsi="Times New Roman" w:cs="Times New Roman"/>
          <w:bCs/>
          <w:color w:val="000000" w:themeColor="text1"/>
          <w:sz w:val="24"/>
          <w:szCs w:val="24"/>
        </w:rPr>
        <w:t>.</w:t>
      </w:r>
    </w:p>
    <w:p w14:paraId="16E2D3EB" w14:textId="5D1FB39A" w:rsidR="00870881" w:rsidRPr="006340BE" w:rsidRDefault="00812AA5" w:rsidP="00870881">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Second, p</w:t>
      </w:r>
      <w:r w:rsidR="00B95C1A" w:rsidRPr="006340BE">
        <w:rPr>
          <w:rFonts w:ascii="Times New Roman" w:hAnsi="Times New Roman" w:cs="Times New Roman"/>
          <w:bCs/>
          <w:color w:val="000000" w:themeColor="text1"/>
          <w:sz w:val="24"/>
          <w:szCs w:val="24"/>
        </w:rPr>
        <w:t xml:space="preserve">olicies for open access to scientific publications have </w:t>
      </w:r>
      <w:r w:rsidR="00AC046A" w:rsidRPr="006340BE">
        <w:rPr>
          <w:rFonts w:ascii="Times New Roman" w:hAnsi="Times New Roman" w:cs="Times New Roman"/>
          <w:bCs/>
          <w:color w:val="000000" w:themeColor="text1"/>
          <w:sz w:val="24"/>
          <w:szCs w:val="24"/>
        </w:rPr>
        <w:t xml:space="preserve">also </w:t>
      </w:r>
      <w:r w:rsidR="00B95C1A" w:rsidRPr="006340BE">
        <w:rPr>
          <w:rFonts w:ascii="Times New Roman" w:hAnsi="Times New Roman" w:cs="Times New Roman"/>
          <w:bCs/>
          <w:color w:val="000000" w:themeColor="text1"/>
          <w:sz w:val="24"/>
          <w:szCs w:val="24"/>
        </w:rPr>
        <w:t>progressed rapidly over the last decade</w:t>
      </w:r>
      <w:r w:rsidR="0044632F">
        <w:rPr>
          <w:rFonts w:ascii="Times New Roman" w:hAnsi="Times New Roman" w:cs="Times New Roman"/>
          <w:bCs/>
          <w:color w:val="000000" w:themeColor="text1"/>
          <w:sz w:val="24"/>
          <w:szCs w:val="24"/>
        </w:rPr>
        <w:t xml:space="preserve">, with </w:t>
      </w:r>
      <w:r w:rsidR="00870881" w:rsidRPr="006340BE">
        <w:rPr>
          <w:rFonts w:ascii="Times New Roman" w:hAnsi="Times New Roman" w:cs="Times New Roman"/>
          <w:bCs/>
          <w:color w:val="000000" w:themeColor="text1"/>
          <w:sz w:val="24"/>
          <w:szCs w:val="24"/>
        </w:rPr>
        <w:t xml:space="preserve">different business models in place. </w:t>
      </w:r>
      <w:r w:rsidR="00B95C1A" w:rsidRPr="006340BE">
        <w:rPr>
          <w:rFonts w:ascii="Times New Roman" w:hAnsi="Times New Roman" w:cs="Times New Roman"/>
          <w:bCs/>
          <w:color w:val="000000" w:themeColor="text1"/>
          <w:sz w:val="24"/>
          <w:szCs w:val="24"/>
        </w:rPr>
        <w:t xml:space="preserve">Ensuring the right for researchers or their institutions to share publicly funded peer-reviewed research findings without restrictions is essential for knowledge to circulate freely. Immediate open access </w:t>
      </w:r>
      <w:r w:rsidR="00870881" w:rsidRPr="006340BE">
        <w:rPr>
          <w:rFonts w:ascii="Times New Roman" w:hAnsi="Times New Roman" w:cs="Times New Roman"/>
          <w:bCs/>
          <w:color w:val="000000" w:themeColor="text1"/>
          <w:sz w:val="24"/>
          <w:szCs w:val="24"/>
        </w:rPr>
        <w:t xml:space="preserve">to publicly funded publications </w:t>
      </w:r>
      <w:r w:rsidR="00B95C1A" w:rsidRPr="006340BE">
        <w:rPr>
          <w:rFonts w:ascii="Times New Roman" w:hAnsi="Times New Roman" w:cs="Times New Roman"/>
          <w:bCs/>
          <w:color w:val="000000" w:themeColor="text1"/>
          <w:sz w:val="24"/>
          <w:szCs w:val="24"/>
        </w:rPr>
        <w:t xml:space="preserve">has the advantage of sharing research results as early as possible, contributing to research efficiency and scientific excellence without compromising systematic peer review. </w:t>
      </w:r>
      <w:r w:rsidRPr="006340BE">
        <w:rPr>
          <w:rFonts w:ascii="Times New Roman" w:hAnsi="Times New Roman" w:cs="Times New Roman"/>
          <w:bCs/>
          <w:color w:val="000000" w:themeColor="text1"/>
          <w:sz w:val="24"/>
          <w:szCs w:val="24"/>
        </w:rPr>
        <w:t>Under Horizon Europe, the Commission proposes to</w:t>
      </w:r>
      <w:r w:rsidR="00870881" w:rsidRPr="006340BE">
        <w:rPr>
          <w:rFonts w:ascii="Times New Roman" w:hAnsi="Times New Roman" w:cs="Times New Roman"/>
          <w:bCs/>
          <w:color w:val="000000" w:themeColor="text1"/>
          <w:sz w:val="24"/>
          <w:szCs w:val="24"/>
        </w:rPr>
        <w:t xml:space="preserve"> launch </w:t>
      </w:r>
      <w:r w:rsidRPr="006340BE">
        <w:rPr>
          <w:rFonts w:ascii="Times New Roman" w:hAnsi="Times New Roman" w:cs="Times New Roman"/>
          <w:bCs/>
          <w:color w:val="000000" w:themeColor="text1"/>
          <w:sz w:val="24"/>
          <w:szCs w:val="24"/>
        </w:rPr>
        <w:t xml:space="preserve">an </w:t>
      </w:r>
      <w:r w:rsidR="00870881" w:rsidRPr="006340BE">
        <w:rPr>
          <w:rFonts w:ascii="Times New Roman" w:hAnsi="Times New Roman" w:cs="Times New Roman"/>
          <w:bCs/>
          <w:color w:val="000000" w:themeColor="text1"/>
          <w:sz w:val="24"/>
          <w:szCs w:val="24"/>
        </w:rPr>
        <w:t xml:space="preserve">Open Research Europe publishing platform, by ensuring that all </w:t>
      </w:r>
      <w:r w:rsidRPr="006340BE">
        <w:rPr>
          <w:rFonts w:ascii="Times New Roman" w:hAnsi="Times New Roman" w:cs="Times New Roman"/>
          <w:bCs/>
          <w:color w:val="000000" w:themeColor="text1"/>
          <w:sz w:val="24"/>
          <w:szCs w:val="24"/>
        </w:rPr>
        <w:t xml:space="preserve">publicly funded </w:t>
      </w:r>
      <w:r w:rsidR="00870881" w:rsidRPr="006340BE">
        <w:rPr>
          <w:rFonts w:ascii="Times New Roman" w:hAnsi="Times New Roman" w:cs="Times New Roman"/>
          <w:bCs/>
          <w:color w:val="000000" w:themeColor="text1"/>
          <w:sz w:val="24"/>
          <w:szCs w:val="24"/>
        </w:rPr>
        <w:t xml:space="preserve">research </w:t>
      </w:r>
      <w:r w:rsidRPr="006340BE">
        <w:rPr>
          <w:rFonts w:ascii="Times New Roman" w:hAnsi="Times New Roman" w:cs="Times New Roman"/>
          <w:bCs/>
          <w:color w:val="000000" w:themeColor="text1"/>
          <w:sz w:val="24"/>
          <w:szCs w:val="24"/>
        </w:rPr>
        <w:t>is</w:t>
      </w:r>
      <w:r w:rsidR="00870881" w:rsidRPr="006340BE">
        <w:rPr>
          <w:rFonts w:ascii="Times New Roman" w:hAnsi="Times New Roman" w:cs="Times New Roman"/>
          <w:bCs/>
          <w:color w:val="000000" w:themeColor="text1"/>
          <w:sz w:val="24"/>
          <w:szCs w:val="24"/>
        </w:rPr>
        <w:t xml:space="preserve"> integrated into a singl</w:t>
      </w:r>
      <w:r w:rsidRPr="006340BE">
        <w:rPr>
          <w:rFonts w:ascii="Times New Roman" w:hAnsi="Times New Roman" w:cs="Times New Roman"/>
          <w:bCs/>
          <w:color w:val="000000" w:themeColor="text1"/>
          <w:sz w:val="24"/>
          <w:szCs w:val="24"/>
        </w:rPr>
        <w:t>e seamless European data space.</w:t>
      </w:r>
    </w:p>
    <w:p w14:paraId="060DEFE4" w14:textId="168EE659" w:rsidR="00B95C1A" w:rsidRPr="006340BE" w:rsidRDefault="00812AA5" w:rsidP="00B95C1A">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Third, t</w:t>
      </w:r>
      <w:r w:rsidR="00B95C1A" w:rsidRPr="006340BE">
        <w:rPr>
          <w:rFonts w:ascii="Times New Roman" w:hAnsi="Times New Roman" w:cs="Times New Roman"/>
          <w:bCs/>
          <w:color w:val="000000" w:themeColor="text1"/>
          <w:sz w:val="24"/>
          <w:szCs w:val="24"/>
        </w:rPr>
        <w:t>he current research assessment system is largely based on the</w:t>
      </w:r>
      <w:r w:rsidRPr="006340BE">
        <w:rPr>
          <w:rFonts w:ascii="Times New Roman" w:hAnsi="Times New Roman" w:cs="Times New Roman"/>
          <w:bCs/>
          <w:color w:val="000000" w:themeColor="text1"/>
          <w:sz w:val="24"/>
          <w:szCs w:val="24"/>
        </w:rPr>
        <w:t xml:space="preserve"> impact factors associated with specific </w:t>
      </w:r>
      <w:r w:rsidR="00B95C1A" w:rsidRPr="006340BE">
        <w:rPr>
          <w:rFonts w:ascii="Times New Roman" w:hAnsi="Times New Roman" w:cs="Times New Roman"/>
          <w:bCs/>
          <w:color w:val="000000" w:themeColor="text1"/>
          <w:sz w:val="24"/>
          <w:szCs w:val="24"/>
        </w:rPr>
        <w:t>journal</w:t>
      </w:r>
      <w:r w:rsidRPr="006340BE">
        <w:rPr>
          <w:rFonts w:ascii="Times New Roman" w:hAnsi="Times New Roman" w:cs="Times New Roman"/>
          <w:bCs/>
          <w:color w:val="000000" w:themeColor="text1"/>
          <w:sz w:val="24"/>
          <w:szCs w:val="24"/>
        </w:rPr>
        <w:t>s,</w:t>
      </w:r>
      <w:r w:rsidR="00B95C1A" w:rsidRPr="006340BE">
        <w:rPr>
          <w:rFonts w:ascii="Times New Roman" w:hAnsi="Times New Roman" w:cs="Times New Roman"/>
          <w:bCs/>
          <w:color w:val="000000" w:themeColor="text1"/>
          <w:sz w:val="24"/>
          <w:szCs w:val="24"/>
        </w:rPr>
        <w:t xml:space="preserve"> where the publication takes place</w:t>
      </w:r>
      <w:r w:rsidR="00DA452F">
        <w:rPr>
          <w:rFonts w:ascii="Times New Roman" w:hAnsi="Times New Roman" w:cs="Times New Roman"/>
          <w:bCs/>
          <w:color w:val="000000" w:themeColor="text1"/>
          <w:sz w:val="24"/>
          <w:szCs w:val="24"/>
        </w:rPr>
        <w:t>,</w:t>
      </w:r>
      <w:r w:rsidR="00B95C1A" w:rsidRPr="006340BE">
        <w:rPr>
          <w:rFonts w:ascii="Times New Roman" w:hAnsi="Times New Roman" w:cs="Times New Roman"/>
          <w:bCs/>
          <w:color w:val="000000" w:themeColor="text1"/>
          <w:sz w:val="24"/>
          <w:szCs w:val="24"/>
        </w:rPr>
        <w:t xml:space="preserve"> rather than on the</w:t>
      </w:r>
      <w:r w:rsidRPr="006340BE">
        <w:rPr>
          <w:rFonts w:ascii="Times New Roman" w:hAnsi="Times New Roman" w:cs="Times New Roman"/>
          <w:bCs/>
          <w:color w:val="000000" w:themeColor="text1"/>
          <w:sz w:val="24"/>
          <w:szCs w:val="24"/>
        </w:rPr>
        <w:t xml:space="preserve"> individual </w:t>
      </w:r>
      <w:r w:rsidR="00B95C1A" w:rsidRPr="006340BE">
        <w:rPr>
          <w:rFonts w:ascii="Times New Roman" w:hAnsi="Times New Roman" w:cs="Times New Roman"/>
          <w:bCs/>
          <w:color w:val="000000" w:themeColor="text1"/>
          <w:sz w:val="24"/>
          <w:szCs w:val="24"/>
        </w:rPr>
        <w:t xml:space="preserve">content </w:t>
      </w:r>
      <w:r w:rsidRPr="006340BE">
        <w:rPr>
          <w:rFonts w:ascii="Times New Roman" w:hAnsi="Times New Roman" w:cs="Times New Roman"/>
          <w:bCs/>
          <w:color w:val="000000" w:themeColor="text1"/>
          <w:sz w:val="24"/>
          <w:szCs w:val="24"/>
        </w:rPr>
        <w:t>and added-value</w:t>
      </w:r>
      <w:r w:rsidR="00DA452F">
        <w:rPr>
          <w:rFonts w:ascii="Times New Roman" w:hAnsi="Times New Roman" w:cs="Times New Roman"/>
          <w:bCs/>
          <w:color w:val="000000" w:themeColor="text1"/>
          <w:sz w:val="24"/>
          <w:szCs w:val="24"/>
        </w:rPr>
        <w:t xml:space="preserve"> of the publication itself</w:t>
      </w:r>
      <w:r w:rsidRPr="006340BE">
        <w:rPr>
          <w:rFonts w:ascii="Times New Roman" w:hAnsi="Times New Roman" w:cs="Times New Roman"/>
          <w:bCs/>
          <w:color w:val="000000" w:themeColor="text1"/>
          <w:sz w:val="24"/>
          <w:szCs w:val="24"/>
        </w:rPr>
        <w:t xml:space="preserve">. </w:t>
      </w:r>
    </w:p>
    <w:p w14:paraId="5FB8B6C6" w14:textId="03582312" w:rsidR="00B95C1A" w:rsidRPr="006340BE" w:rsidRDefault="0044632F" w:rsidP="00B95C1A">
      <w:pPr>
        <w:spacing w:before="120"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M</w:t>
      </w:r>
      <w:r w:rsidR="00812AA5" w:rsidRPr="006340BE">
        <w:rPr>
          <w:rFonts w:ascii="Times New Roman" w:hAnsi="Times New Roman" w:cs="Times New Roman"/>
          <w:bCs/>
          <w:color w:val="000000" w:themeColor="text1"/>
          <w:sz w:val="24"/>
          <w:szCs w:val="24"/>
        </w:rPr>
        <w:t xml:space="preserve">ore </w:t>
      </w:r>
      <w:r>
        <w:rPr>
          <w:rFonts w:ascii="Times New Roman" w:hAnsi="Times New Roman" w:cs="Times New Roman"/>
          <w:bCs/>
          <w:color w:val="000000" w:themeColor="text1"/>
          <w:sz w:val="24"/>
          <w:szCs w:val="24"/>
        </w:rPr>
        <w:t>sh</w:t>
      </w:r>
      <w:r w:rsidR="00812AA5" w:rsidRPr="006340BE">
        <w:rPr>
          <w:rFonts w:ascii="Times New Roman" w:hAnsi="Times New Roman" w:cs="Times New Roman"/>
          <w:bCs/>
          <w:color w:val="000000" w:themeColor="text1"/>
          <w:sz w:val="24"/>
          <w:szCs w:val="24"/>
        </w:rPr>
        <w:t>ould be done to</w:t>
      </w:r>
      <w:r w:rsidR="00B95C1A" w:rsidRPr="006340BE">
        <w:rPr>
          <w:rFonts w:ascii="Times New Roman" w:hAnsi="Times New Roman" w:cs="Times New Roman"/>
          <w:bCs/>
          <w:color w:val="000000" w:themeColor="text1"/>
          <w:sz w:val="24"/>
          <w:szCs w:val="24"/>
        </w:rPr>
        <w:t xml:space="preserve"> incentive to share results and collaborate, and </w:t>
      </w:r>
      <w:r>
        <w:rPr>
          <w:rFonts w:ascii="Times New Roman" w:hAnsi="Times New Roman" w:cs="Times New Roman"/>
          <w:bCs/>
          <w:color w:val="000000" w:themeColor="text1"/>
          <w:sz w:val="24"/>
          <w:szCs w:val="24"/>
        </w:rPr>
        <w:t xml:space="preserve">to </w:t>
      </w:r>
      <w:r w:rsidR="00812AA5" w:rsidRPr="006340BE">
        <w:rPr>
          <w:rFonts w:ascii="Times New Roman" w:hAnsi="Times New Roman" w:cs="Times New Roman"/>
          <w:bCs/>
          <w:color w:val="000000" w:themeColor="text1"/>
          <w:sz w:val="24"/>
          <w:szCs w:val="24"/>
        </w:rPr>
        <w:t>encourage</w:t>
      </w:r>
      <w:r w:rsidR="00B95C1A" w:rsidRPr="006340BE">
        <w:rPr>
          <w:rFonts w:ascii="Times New Roman" w:hAnsi="Times New Roman" w:cs="Times New Roman"/>
          <w:bCs/>
          <w:color w:val="000000" w:themeColor="text1"/>
          <w:sz w:val="24"/>
          <w:szCs w:val="24"/>
        </w:rPr>
        <w:t xml:space="preserve"> trans-disciplinary research. </w:t>
      </w:r>
      <w:r w:rsidR="00812AA5" w:rsidRPr="006340BE">
        <w:rPr>
          <w:rFonts w:ascii="Times New Roman" w:hAnsi="Times New Roman" w:cs="Times New Roman"/>
          <w:bCs/>
          <w:color w:val="000000" w:themeColor="text1"/>
          <w:sz w:val="24"/>
          <w:szCs w:val="24"/>
        </w:rPr>
        <w:t>Improving</w:t>
      </w:r>
      <w:r w:rsidR="00B95C1A" w:rsidRPr="006340BE">
        <w:rPr>
          <w:rFonts w:ascii="Times New Roman" w:hAnsi="Times New Roman" w:cs="Times New Roman"/>
          <w:bCs/>
          <w:color w:val="000000" w:themeColor="text1"/>
          <w:sz w:val="24"/>
          <w:szCs w:val="24"/>
        </w:rPr>
        <w:t xml:space="preserve"> the system requires the collaboration and agreement with Member States, research funders, research performing organisations</w:t>
      </w:r>
      <w:r w:rsidR="00812AA5" w:rsidRPr="006340BE">
        <w:rPr>
          <w:rFonts w:ascii="Times New Roman" w:hAnsi="Times New Roman" w:cs="Times New Roman"/>
          <w:bCs/>
          <w:color w:val="000000" w:themeColor="text1"/>
          <w:sz w:val="24"/>
          <w:szCs w:val="24"/>
        </w:rPr>
        <w:t>, scientific publishers</w:t>
      </w:r>
      <w:r w:rsidR="00B95C1A" w:rsidRPr="006340BE">
        <w:rPr>
          <w:rFonts w:ascii="Times New Roman" w:hAnsi="Times New Roman" w:cs="Times New Roman"/>
          <w:bCs/>
          <w:color w:val="000000" w:themeColor="text1"/>
          <w:sz w:val="24"/>
          <w:szCs w:val="24"/>
        </w:rPr>
        <w:t xml:space="preserve"> and other actors to coordinate and synchroni</w:t>
      </w:r>
      <w:r w:rsidR="001A2B70">
        <w:rPr>
          <w:rFonts w:ascii="Times New Roman" w:hAnsi="Times New Roman" w:cs="Times New Roman"/>
          <w:bCs/>
          <w:color w:val="000000" w:themeColor="text1"/>
          <w:sz w:val="24"/>
          <w:szCs w:val="24"/>
        </w:rPr>
        <w:t>s</w:t>
      </w:r>
      <w:r w:rsidR="00B95C1A" w:rsidRPr="006340BE">
        <w:rPr>
          <w:rFonts w:ascii="Times New Roman" w:hAnsi="Times New Roman" w:cs="Times New Roman"/>
          <w:bCs/>
          <w:color w:val="000000" w:themeColor="text1"/>
          <w:sz w:val="24"/>
          <w:szCs w:val="24"/>
        </w:rPr>
        <w:t>e reforms at institutional, regional, national and international level.</w:t>
      </w:r>
    </w:p>
    <w:p w14:paraId="43AE1185" w14:textId="77777777" w:rsidR="009E3399" w:rsidRPr="007A78F6" w:rsidRDefault="00996192" w:rsidP="009E3399">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highlight w:val="yellow"/>
        </w:rPr>
      </w:pPr>
      <w:r w:rsidRPr="007A78F6">
        <w:rPr>
          <w:rFonts w:ascii="Times New Roman" w:hAnsi="Times New Roman" w:cs="Times New Roman"/>
          <w:bCs/>
          <w:color w:val="000000" w:themeColor="text1"/>
          <w:sz w:val="24"/>
          <w:szCs w:val="24"/>
          <w:highlight w:val="yellow"/>
        </w:rPr>
        <w:lastRenderedPageBreak/>
        <w:t>The Commis</w:t>
      </w:r>
      <w:r w:rsidR="00460AE4" w:rsidRPr="007A78F6">
        <w:rPr>
          <w:rFonts w:ascii="Times New Roman" w:hAnsi="Times New Roman" w:cs="Times New Roman"/>
          <w:bCs/>
          <w:color w:val="000000" w:themeColor="text1"/>
          <w:sz w:val="24"/>
          <w:szCs w:val="24"/>
          <w:highlight w:val="yellow"/>
        </w:rPr>
        <w:t>sion</w:t>
      </w:r>
      <w:r w:rsidR="00AE69A5" w:rsidRPr="007A78F6">
        <w:rPr>
          <w:rFonts w:ascii="Times New Roman" w:hAnsi="Times New Roman" w:cs="Times New Roman"/>
          <w:bCs/>
          <w:color w:val="000000" w:themeColor="text1"/>
          <w:sz w:val="24"/>
          <w:szCs w:val="24"/>
          <w:highlight w:val="yellow"/>
        </w:rPr>
        <w:t xml:space="preserve"> </w:t>
      </w:r>
      <w:r w:rsidR="00AE69A5" w:rsidRPr="007A78F6">
        <w:rPr>
          <w:rFonts w:ascii="Times New Roman" w:hAnsi="Times New Roman" w:cs="Times New Roman"/>
          <w:highlight w:val="yellow"/>
        </w:rPr>
        <w:t xml:space="preserve">will: </w:t>
      </w:r>
    </w:p>
    <w:p w14:paraId="119CA57B" w14:textId="659A9DFE" w:rsidR="00460AE4" w:rsidRPr="007A78F6" w:rsidRDefault="009E3399" w:rsidP="009E3399">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highlight w:val="yellow"/>
          <w:u w:val="single"/>
        </w:rPr>
      </w:pPr>
      <w:r w:rsidRPr="007A78F6">
        <w:rPr>
          <w:rFonts w:ascii="Times New Roman" w:hAnsi="Times New Roman" w:cs="Times New Roman"/>
          <w:highlight w:val="yellow"/>
        </w:rPr>
        <w:t>L</w:t>
      </w:r>
      <w:r w:rsidR="00AE69A5" w:rsidRPr="007A78F6">
        <w:rPr>
          <w:rFonts w:ascii="Times New Roman" w:hAnsi="Times New Roman" w:cs="Times New Roman"/>
          <w:bCs/>
          <w:color w:val="000000" w:themeColor="text1"/>
          <w:sz w:val="24"/>
          <w:szCs w:val="24"/>
          <w:highlight w:val="yellow"/>
        </w:rPr>
        <w:t xml:space="preserve">aunch, via the Horizon Europe Programme, a platform of peer-reviewed open access publishing; analyse authors’ rights to enable sharing of publicly funded peer-reviewed articles without restriction; </w:t>
      </w:r>
      <w:r w:rsidR="0099304F" w:rsidRPr="007A78F6">
        <w:rPr>
          <w:rFonts w:ascii="Times New Roman" w:hAnsi="Times New Roman" w:cs="Times New Roman"/>
          <w:bCs/>
          <w:color w:val="000000" w:themeColor="text1"/>
          <w:sz w:val="24"/>
          <w:szCs w:val="24"/>
          <w:highlight w:val="yellow"/>
        </w:rPr>
        <w:t>e</w:t>
      </w:r>
      <w:r w:rsidR="00275321" w:rsidRPr="007A78F6">
        <w:rPr>
          <w:rFonts w:ascii="Times New Roman" w:hAnsi="Times New Roman" w:cs="Times New Roman"/>
          <w:bCs/>
          <w:color w:val="000000" w:themeColor="text1"/>
          <w:sz w:val="24"/>
          <w:szCs w:val="24"/>
          <w:highlight w:val="yellow"/>
        </w:rPr>
        <w:t>nsure a European Open Science Cloud that is</w:t>
      </w:r>
      <w:r w:rsidR="00AE69A5" w:rsidRPr="007A78F6">
        <w:rPr>
          <w:rFonts w:ascii="Times New Roman" w:hAnsi="Times New Roman" w:cs="Times New Roman"/>
          <w:bCs/>
          <w:color w:val="000000" w:themeColor="text1"/>
          <w:sz w:val="24"/>
          <w:szCs w:val="24"/>
          <w:highlight w:val="yellow"/>
        </w:rPr>
        <w:t xml:space="preserve"> </w:t>
      </w:r>
      <w:r w:rsidR="00275321" w:rsidRPr="007A78F6">
        <w:rPr>
          <w:rFonts w:ascii="Times New Roman" w:hAnsi="Times New Roman" w:cs="Times New Roman"/>
          <w:bCs/>
          <w:color w:val="000000" w:themeColor="text1"/>
          <w:sz w:val="24"/>
          <w:szCs w:val="24"/>
          <w:highlight w:val="yellow"/>
        </w:rPr>
        <w:t xml:space="preserve">offering </w:t>
      </w:r>
      <w:r w:rsidR="00417177" w:rsidRPr="007A78F6">
        <w:rPr>
          <w:rFonts w:ascii="Times New Roman" w:hAnsi="Times New Roman" w:cs="Times New Roman"/>
          <w:bCs/>
          <w:color w:val="000000" w:themeColor="text1"/>
          <w:sz w:val="24"/>
          <w:szCs w:val="24"/>
          <w:highlight w:val="yellow"/>
        </w:rPr>
        <w:t>findable, accessible, interoperable and reusable</w:t>
      </w:r>
      <w:r w:rsidR="00DA452F" w:rsidRPr="007A78F6">
        <w:rPr>
          <w:rFonts w:ascii="Times New Roman" w:hAnsi="Times New Roman" w:cs="Times New Roman"/>
          <w:bCs/>
          <w:color w:val="000000" w:themeColor="text1"/>
          <w:sz w:val="24"/>
          <w:szCs w:val="24"/>
          <w:highlight w:val="yellow"/>
        </w:rPr>
        <w:t xml:space="preserve"> </w:t>
      </w:r>
      <w:r w:rsidR="00AE69A5" w:rsidRPr="007A78F6">
        <w:rPr>
          <w:rFonts w:ascii="Times New Roman" w:hAnsi="Times New Roman" w:cs="Times New Roman"/>
          <w:bCs/>
          <w:color w:val="000000" w:themeColor="text1"/>
          <w:sz w:val="24"/>
          <w:szCs w:val="24"/>
          <w:highlight w:val="yellow"/>
        </w:rPr>
        <w:t>research data and services</w:t>
      </w:r>
      <w:r w:rsidR="00417177" w:rsidRPr="007A78F6">
        <w:rPr>
          <w:rFonts w:ascii="Times New Roman" w:hAnsi="Times New Roman" w:cs="Times New Roman"/>
          <w:bCs/>
          <w:color w:val="000000" w:themeColor="text1"/>
          <w:sz w:val="24"/>
          <w:szCs w:val="24"/>
          <w:highlight w:val="yellow"/>
        </w:rPr>
        <w:t xml:space="preserve"> (Web of FAIR)</w:t>
      </w:r>
      <w:r w:rsidR="00AE69A5" w:rsidRPr="007A78F6">
        <w:rPr>
          <w:rFonts w:ascii="Times New Roman" w:hAnsi="Times New Roman" w:cs="Times New Roman"/>
          <w:bCs/>
          <w:color w:val="000000" w:themeColor="text1"/>
          <w:sz w:val="24"/>
          <w:szCs w:val="24"/>
          <w:highlight w:val="yellow"/>
        </w:rPr>
        <w:t>; and incentivise open science practices by improving the research assessment system.</w:t>
      </w:r>
    </w:p>
    <w:p w14:paraId="7B96ADF6" w14:textId="033B5714" w:rsidR="00460AE4" w:rsidRPr="006340BE" w:rsidRDefault="00460AE4">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color w:val="000000" w:themeColor="text1"/>
          <w:sz w:val="24"/>
          <w:szCs w:val="24"/>
          <w:u w:val="single"/>
        </w:rPr>
        <w:t>Research and technology infrastructures</w:t>
      </w:r>
      <w:r w:rsidR="002511DD">
        <w:rPr>
          <w:rFonts w:ascii="Times New Roman" w:hAnsi="Times New Roman" w:cs="Times New Roman"/>
          <w:color w:val="000000" w:themeColor="text1"/>
          <w:sz w:val="24"/>
          <w:szCs w:val="24"/>
          <w:u w:val="single"/>
        </w:rPr>
        <w:t xml:space="preserve"> (including e-Infrastructures)</w:t>
      </w:r>
    </w:p>
    <w:p w14:paraId="14E33B33" w14:textId="77AC00E5" w:rsidR="001406D1" w:rsidRPr="004C70A4" w:rsidRDefault="006340BE" w:rsidP="009E3399">
      <w:pPr>
        <w:autoSpaceDE w:val="0"/>
        <w:autoSpaceDN w:val="0"/>
        <w:spacing w:before="120" w:after="0" w:line="240" w:lineRule="auto"/>
        <w:jc w:val="both"/>
        <w:rPr>
          <w:rFonts w:ascii="Times New Roman" w:hAnsi="Times New Roman"/>
          <w:sz w:val="24"/>
        </w:rPr>
      </w:pPr>
      <w:r w:rsidRPr="00BE17D3">
        <w:rPr>
          <w:rFonts w:ascii="Times New Roman" w:eastAsia="Times New Roman" w:hAnsi="Times New Roman" w:cs="Times New Roman"/>
          <w:sz w:val="24"/>
          <w:szCs w:val="24"/>
          <w:lang w:eastAsia="en-GB"/>
        </w:rPr>
        <w:t>Large</w:t>
      </w:r>
      <w:r w:rsidR="000E68FC">
        <w:rPr>
          <w:rFonts w:ascii="Times New Roman" w:eastAsia="Times New Roman" w:hAnsi="Times New Roman" w:cs="Times New Roman"/>
          <w:sz w:val="24"/>
          <w:szCs w:val="24"/>
          <w:lang w:eastAsia="en-GB"/>
        </w:rPr>
        <w:t>-</w:t>
      </w:r>
      <w:r w:rsidRPr="00BE17D3">
        <w:rPr>
          <w:rFonts w:ascii="Times New Roman" w:eastAsia="Times New Roman" w:hAnsi="Times New Roman" w:cs="Times New Roman"/>
          <w:sz w:val="24"/>
          <w:szCs w:val="24"/>
          <w:lang w:eastAsia="en-GB"/>
        </w:rPr>
        <w:t xml:space="preserve">scale research infrastructures are a backbone of the ERA and key to make Europe attractive for the best researchers across the world, contributing to knowledge sharing and innovation. Research infrastructures can foster regional development by concentrating skills and </w:t>
      </w:r>
      <w:r w:rsidRPr="00417177">
        <w:rPr>
          <w:rFonts w:ascii="Times New Roman" w:eastAsia="Times New Roman" w:hAnsi="Times New Roman" w:cs="Times New Roman"/>
          <w:sz w:val="24"/>
          <w:szCs w:val="24"/>
          <w:lang w:eastAsia="en-GB"/>
        </w:rPr>
        <w:t>innovation talent</w:t>
      </w:r>
      <w:r w:rsidRPr="00417177">
        <w:rPr>
          <w:rFonts w:ascii="Times New Roman" w:eastAsia="Times New Roman" w:hAnsi="Times New Roman" w:cs="Times New Roman"/>
          <w:color w:val="000000"/>
          <w:sz w:val="24"/>
          <w:szCs w:val="24"/>
          <w:lang w:eastAsia="en-GB"/>
        </w:rPr>
        <w:t> </w:t>
      </w:r>
      <w:r w:rsidRPr="00417177">
        <w:rPr>
          <w:rFonts w:ascii="Times New Roman" w:eastAsia="Times New Roman" w:hAnsi="Times New Roman" w:cs="Times New Roman"/>
          <w:sz w:val="24"/>
          <w:szCs w:val="24"/>
          <w:lang w:eastAsia="en-GB"/>
        </w:rPr>
        <w:t>around strategic scientific assets. </w:t>
      </w:r>
      <w:r w:rsidR="002511DD" w:rsidRPr="004E416A">
        <w:rPr>
          <w:rFonts w:ascii="Times New Roman" w:hAnsi="Times New Roman" w:cs="Times New Roman"/>
          <w:sz w:val="24"/>
          <w:szCs w:val="24"/>
        </w:rPr>
        <w:t>E-infrastructures, in particular connectivity and collaboration services</w:t>
      </w:r>
      <w:r w:rsidR="0099304F" w:rsidRPr="004E416A">
        <w:rPr>
          <w:rFonts w:ascii="Times New Roman" w:hAnsi="Times New Roman" w:cs="Times New Roman"/>
          <w:sz w:val="24"/>
          <w:szCs w:val="24"/>
        </w:rPr>
        <w:t>,</w:t>
      </w:r>
      <w:r w:rsidR="002511DD" w:rsidRPr="004E416A">
        <w:rPr>
          <w:rFonts w:ascii="Times New Roman" w:hAnsi="Times New Roman" w:cs="Times New Roman"/>
          <w:sz w:val="24"/>
          <w:szCs w:val="24"/>
        </w:rPr>
        <w:t xml:space="preserve"> will play a fundamental role in exploiting the full potential of research infrastructures.</w:t>
      </w:r>
      <w:r w:rsidR="002511DD" w:rsidRPr="0099304F">
        <w:rPr>
          <w:rFonts w:ascii="Times New Roman" w:eastAsia="Times New Roman" w:hAnsi="Times New Roman" w:cs="Times New Roman"/>
          <w:sz w:val="24"/>
          <w:szCs w:val="24"/>
          <w:lang w:eastAsia="en-GB"/>
        </w:rPr>
        <w:t xml:space="preserve"> </w:t>
      </w:r>
      <w:r w:rsidR="001406D1" w:rsidRPr="004E416A">
        <w:rPr>
          <w:rFonts w:ascii="Times New Roman" w:hAnsi="Times New Roman" w:cs="Times New Roman"/>
          <w:sz w:val="24"/>
          <w:szCs w:val="24"/>
        </w:rPr>
        <w:t xml:space="preserve">Ultra-fast connectivity will become a building block for the </w:t>
      </w:r>
      <w:r w:rsidR="00417177" w:rsidRPr="004E416A">
        <w:rPr>
          <w:rFonts w:ascii="Times New Roman" w:hAnsi="Times New Roman" w:cs="Times New Roman"/>
          <w:sz w:val="24"/>
          <w:szCs w:val="24"/>
        </w:rPr>
        <w:t>use</w:t>
      </w:r>
      <w:r w:rsidR="001406D1" w:rsidRPr="004E416A">
        <w:rPr>
          <w:rFonts w:ascii="Times New Roman" w:hAnsi="Times New Roman" w:cs="Times New Roman"/>
          <w:sz w:val="24"/>
          <w:szCs w:val="24"/>
        </w:rPr>
        <w:t xml:space="preserve"> of digital twin</w:t>
      </w:r>
      <w:r w:rsidR="00417177" w:rsidRPr="004E416A">
        <w:rPr>
          <w:rFonts w:ascii="Times New Roman" w:hAnsi="Times New Roman" w:cs="Times New Roman"/>
          <w:sz w:val="24"/>
          <w:szCs w:val="24"/>
        </w:rPr>
        <w:t>-like</w:t>
      </w:r>
      <w:r w:rsidR="001406D1" w:rsidRPr="004E416A">
        <w:rPr>
          <w:rFonts w:ascii="Times New Roman" w:hAnsi="Times New Roman" w:cs="Times New Roman"/>
          <w:sz w:val="24"/>
          <w:szCs w:val="24"/>
        </w:rPr>
        <w:t xml:space="preserve"> </w:t>
      </w:r>
      <w:r w:rsidR="00417177" w:rsidRPr="004E416A">
        <w:rPr>
          <w:rFonts w:ascii="Times New Roman" w:hAnsi="Times New Roman" w:cs="Times New Roman"/>
          <w:sz w:val="24"/>
          <w:szCs w:val="24"/>
        </w:rPr>
        <w:t xml:space="preserve">models of reality, </w:t>
      </w:r>
      <w:r w:rsidR="001406D1" w:rsidRPr="004E416A">
        <w:rPr>
          <w:rFonts w:ascii="Times New Roman" w:hAnsi="Times New Roman" w:cs="Times New Roman"/>
          <w:sz w:val="24"/>
          <w:szCs w:val="24"/>
        </w:rPr>
        <w:t>with near real-time decision-making tools</w:t>
      </w:r>
      <w:r w:rsidR="00417177" w:rsidRPr="004E416A">
        <w:rPr>
          <w:rFonts w:ascii="Times New Roman" w:hAnsi="Times New Roman" w:cs="Times New Roman"/>
          <w:sz w:val="24"/>
          <w:szCs w:val="24"/>
        </w:rPr>
        <w:t>,</w:t>
      </w:r>
      <w:r w:rsidR="001406D1" w:rsidRPr="004E416A">
        <w:rPr>
          <w:rFonts w:ascii="Times New Roman" w:hAnsi="Times New Roman" w:cs="Times New Roman"/>
          <w:sz w:val="24"/>
          <w:szCs w:val="24"/>
        </w:rPr>
        <w:t xml:space="preserve"> rooted on scientific evidence.</w:t>
      </w:r>
    </w:p>
    <w:p w14:paraId="534AF898" w14:textId="20149949" w:rsidR="006340BE" w:rsidRPr="009E3399" w:rsidRDefault="006340BE" w:rsidP="009E3399">
      <w:pPr>
        <w:autoSpaceDE w:val="0"/>
        <w:autoSpaceDN w:val="0"/>
        <w:spacing w:before="120" w:after="0" w:line="240" w:lineRule="auto"/>
        <w:jc w:val="both"/>
        <w:rPr>
          <w:rFonts w:ascii="Calibri" w:eastAsia="Times New Roman" w:hAnsi="Calibri" w:cs="Calibri"/>
          <w:lang w:eastAsia="en-GB"/>
        </w:rPr>
      </w:pPr>
      <w:r w:rsidRPr="00BE17D3">
        <w:rPr>
          <w:rFonts w:ascii="Times New Roman" w:eastAsia="Times New Roman" w:hAnsi="Times New Roman" w:cs="Times New Roman"/>
          <w:sz w:val="24"/>
          <w:szCs w:val="24"/>
          <w:lang w:eastAsia="en-GB"/>
        </w:rPr>
        <w:t>The European Commission has been working in close partnership with the Member States and the scientific communities within the European Strategy Forum on Research Infrastructures (ESFRI) to develop new pan-European infrastructures and the effective networking of existing ones. This is one of the successes of the current European Research Area, leading to cutting-edge structures across Europe and the world, such as the European Spallation Source</w:t>
      </w:r>
      <w:r w:rsidR="009E3399">
        <w:rPr>
          <w:rStyle w:val="FootnoteReference"/>
          <w:rFonts w:ascii="Times New Roman" w:eastAsia="Times New Roman" w:hAnsi="Times New Roman" w:cs="Times New Roman"/>
          <w:sz w:val="24"/>
          <w:szCs w:val="24"/>
          <w:lang w:eastAsia="en-GB"/>
        </w:rPr>
        <w:footnoteReference w:id="49"/>
      </w:r>
      <w:r w:rsidRPr="00BE17D3">
        <w:rPr>
          <w:rFonts w:ascii="Times New Roman" w:eastAsia="Times New Roman" w:hAnsi="Times New Roman" w:cs="Times New Roman"/>
          <w:sz w:val="24"/>
          <w:szCs w:val="24"/>
          <w:lang w:eastAsia="en-GB"/>
        </w:rPr>
        <w:t>, the European Plate Observing System</w:t>
      </w:r>
      <w:r w:rsidR="009E3399">
        <w:rPr>
          <w:rStyle w:val="FootnoteReference"/>
          <w:rFonts w:ascii="Times New Roman" w:eastAsia="Times New Roman" w:hAnsi="Times New Roman" w:cs="Times New Roman"/>
          <w:sz w:val="24"/>
          <w:szCs w:val="24"/>
          <w:lang w:eastAsia="en-GB"/>
        </w:rPr>
        <w:footnoteReference w:id="50"/>
      </w:r>
      <w:r w:rsidRPr="00BE17D3">
        <w:rPr>
          <w:rFonts w:ascii="Times New Roman" w:eastAsia="Times New Roman" w:hAnsi="Times New Roman" w:cs="Times New Roman"/>
          <w:sz w:val="24"/>
          <w:szCs w:val="24"/>
          <w:lang w:eastAsia="en-GB"/>
        </w:rPr>
        <w:t> or the European Soci</w:t>
      </w:r>
      <w:r w:rsidR="009E3399">
        <w:rPr>
          <w:rFonts w:ascii="Times New Roman" w:eastAsia="Times New Roman" w:hAnsi="Times New Roman" w:cs="Times New Roman"/>
          <w:sz w:val="24"/>
          <w:szCs w:val="24"/>
          <w:lang w:eastAsia="en-GB"/>
        </w:rPr>
        <w:t>al Survey</w:t>
      </w:r>
      <w:r w:rsidR="009E3399">
        <w:rPr>
          <w:rStyle w:val="FootnoteReference"/>
          <w:rFonts w:ascii="Times New Roman" w:eastAsia="Times New Roman" w:hAnsi="Times New Roman" w:cs="Times New Roman"/>
          <w:sz w:val="24"/>
          <w:szCs w:val="24"/>
          <w:lang w:eastAsia="en-GB"/>
        </w:rPr>
        <w:footnoteReference w:id="51"/>
      </w:r>
      <w:r w:rsidRPr="00BE17D3">
        <w:rPr>
          <w:rFonts w:ascii="Times New Roman" w:eastAsia="Times New Roman" w:hAnsi="Times New Roman" w:cs="Times New Roman"/>
          <w:sz w:val="24"/>
          <w:szCs w:val="24"/>
          <w:lang w:eastAsia="en-GB"/>
        </w:rPr>
        <w:t>.</w:t>
      </w:r>
    </w:p>
    <w:p w14:paraId="085F802D" w14:textId="69773091" w:rsidR="006340BE" w:rsidRPr="009E3399" w:rsidRDefault="006340BE" w:rsidP="009E3399">
      <w:pPr>
        <w:autoSpaceDE w:val="0"/>
        <w:autoSpaceDN w:val="0"/>
        <w:spacing w:before="120" w:after="0" w:line="240" w:lineRule="auto"/>
        <w:jc w:val="both"/>
        <w:rPr>
          <w:rFonts w:ascii="Calibri" w:eastAsia="Times New Roman" w:hAnsi="Calibri" w:cs="Calibri"/>
          <w:lang w:eastAsia="en-GB"/>
        </w:rPr>
      </w:pPr>
      <w:r w:rsidRPr="00BE17D3">
        <w:rPr>
          <w:rFonts w:ascii="Times New Roman" w:eastAsia="Times New Roman" w:hAnsi="Times New Roman" w:cs="Times New Roman"/>
          <w:sz w:val="24"/>
          <w:szCs w:val="24"/>
          <w:lang w:eastAsia="en-GB"/>
        </w:rPr>
        <w:t>However, research infrastructures have greater added value when used both for research and technological applications. This unleashes the innovation potential to deliver on E</w:t>
      </w:r>
      <w:r w:rsidR="009E3399">
        <w:rPr>
          <w:rFonts w:ascii="Times New Roman" w:eastAsia="Times New Roman" w:hAnsi="Times New Roman" w:cs="Times New Roman"/>
          <w:sz w:val="24"/>
          <w:szCs w:val="24"/>
          <w:lang w:eastAsia="en-GB"/>
        </w:rPr>
        <w:t>U’s broader policy priorities</w:t>
      </w:r>
      <w:r w:rsidRPr="00BE17D3">
        <w:rPr>
          <w:rFonts w:ascii="Times New Roman" w:eastAsia="Times New Roman" w:hAnsi="Times New Roman" w:cs="Times New Roman"/>
          <w:sz w:val="24"/>
          <w:szCs w:val="24"/>
          <w:lang w:eastAsia="en-GB"/>
        </w:rPr>
        <w:t>.  This will support industries and SMEs, with balanced scientific resources and access for researchers across the EU. </w:t>
      </w:r>
    </w:p>
    <w:p w14:paraId="68C2FA38" w14:textId="410CCFE0" w:rsidR="006340BE" w:rsidRDefault="006340BE" w:rsidP="009E3399">
      <w:pPr>
        <w:autoSpaceDE w:val="0"/>
        <w:autoSpaceDN w:val="0"/>
        <w:spacing w:before="120" w:after="0" w:line="240" w:lineRule="auto"/>
        <w:jc w:val="both"/>
        <w:rPr>
          <w:rFonts w:ascii="Times New Roman" w:eastAsia="Times New Roman" w:hAnsi="Times New Roman" w:cs="Times New Roman"/>
          <w:sz w:val="24"/>
          <w:szCs w:val="24"/>
          <w:lang w:eastAsia="en-GB"/>
        </w:rPr>
      </w:pPr>
      <w:r w:rsidRPr="00BE17D3">
        <w:rPr>
          <w:rFonts w:ascii="Times New Roman" w:eastAsia="Times New Roman" w:hAnsi="Times New Roman" w:cs="Times New Roman"/>
          <w:sz w:val="24"/>
          <w:szCs w:val="24"/>
          <w:lang w:eastAsia="en-GB"/>
        </w:rPr>
        <w:t>The recently published ESFRI White Paper</w:t>
      </w:r>
      <w:r w:rsidR="009E3399">
        <w:rPr>
          <w:rStyle w:val="FootnoteReference"/>
          <w:rFonts w:ascii="Times New Roman" w:eastAsia="Times New Roman" w:hAnsi="Times New Roman" w:cs="Times New Roman"/>
          <w:sz w:val="24"/>
          <w:szCs w:val="24"/>
          <w:lang w:eastAsia="en-GB"/>
        </w:rPr>
        <w:footnoteReference w:id="52"/>
      </w:r>
      <w:r w:rsidRPr="00BE17D3">
        <w:rPr>
          <w:rFonts w:ascii="Times New Roman" w:eastAsia="Times New Roman" w:hAnsi="Times New Roman" w:cs="Times New Roman"/>
          <w:sz w:val="24"/>
          <w:szCs w:val="24"/>
          <w:lang w:eastAsia="en-GB"/>
        </w:rPr>
        <w:t xml:space="preserve"> sets out a new vision in this direction. </w:t>
      </w:r>
    </w:p>
    <w:p w14:paraId="0C941254" w14:textId="1CAB596A" w:rsidR="00F25206" w:rsidRPr="006340BE" w:rsidRDefault="006340BE" w:rsidP="00F74968">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color w:val="000000" w:themeColor="text1"/>
          <w:sz w:val="24"/>
          <w:szCs w:val="24"/>
        </w:rPr>
        <w:t>Infrastructures can also make a significant contribution to innovation. In that context, the strategic development of European technology infrastructures has been identified as a key issue</w:t>
      </w:r>
      <w:r w:rsidRPr="006340BE">
        <w:rPr>
          <w:rStyle w:val="FootnoteReference"/>
          <w:rFonts w:ascii="Times New Roman" w:hAnsi="Times New Roman" w:cs="Times New Roman"/>
          <w:color w:val="000000" w:themeColor="text1"/>
          <w:sz w:val="24"/>
          <w:szCs w:val="24"/>
        </w:rPr>
        <w:footnoteReference w:id="53"/>
      </w:r>
      <w:r w:rsidRPr="006340BE">
        <w:rPr>
          <w:rFonts w:ascii="Times New Roman" w:hAnsi="Times New Roman" w:cs="Times New Roman"/>
          <w:color w:val="000000" w:themeColor="text1"/>
          <w:sz w:val="24"/>
          <w:szCs w:val="24"/>
        </w:rPr>
        <w:t xml:space="preserve">. Industry, and notably SMEs, require access to the right technology infrastructures to quickly develop and test their innovations and successfully enter the market. This </w:t>
      </w:r>
      <w:proofErr w:type="gramStart"/>
      <w:r w:rsidRPr="006340BE">
        <w:rPr>
          <w:rFonts w:ascii="Times New Roman" w:hAnsi="Times New Roman" w:cs="Times New Roman"/>
          <w:color w:val="000000" w:themeColor="text1"/>
          <w:sz w:val="24"/>
          <w:szCs w:val="24"/>
        </w:rPr>
        <w:t xml:space="preserve">involves </w:t>
      </w:r>
      <w:r w:rsidRPr="006340BE">
        <w:rPr>
          <w:color w:val="000000" w:themeColor="text1"/>
        </w:rPr>
        <w:t xml:space="preserve"> </w:t>
      </w:r>
      <w:r w:rsidRPr="006340BE">
        <w:rPr>
          <w:rFonts w:ascii="Times New Roman" w:hAnsi="Times New Roman" w:cs="Times New Roman"/>
          <w:color w:val="000000" w:themeColor="text1"/>
          <w:sz w:val="24"/>
          <w:szCs w:val="24"/>
        </w:rPr>
        <w:t>establishing</w:t>
      </w:r>
      <w:proofErr w:type="gramEnd"/>
      <w:r w:rsidRPr="006340BE">
        <w:rPr>
          <w:rFonts w:ascii="Times New Roman" w:hAnsi="Times New Roman" w:cs="Times New Roman"/>
          <w:color w:val="000000" w:themeColor="text1"/>
          <w:sz w:val="24"/>
          <w:szCs w:val="24"/>
        </w:rPr>
        <w:t xml:space="preserve"> a governance structure for Technology Infrastructures, which will bring together and complete currently existing mappings of available facilities, performing a gap analysis and prioriti</w:t>
      </w:r>
      <w:r w:rsidR="001A2B70">
        <w:rPr>
          <w:rFonts w:ascii="Times New Roman" w:hAnsi="Times New Roman" w:cs="Times New Roman"/>
          <w:color w:val="000000" w:themeColor="text1"/>
          <w:sz w:val="24"/>
          <w:szCs w:val="24"/>
        </w:rPr>
        <w:t>s</w:t>
      </w:r>
      <w:r w:rsidRPr="006340BE">
        <w:rPr>
          <w:rFonts w:ascii="Times New Roman" w:hAnsi="Times New Roman" w:cs="Times New Roman"/>
          <w:color w:val="000000" w:themeColor="text1"/>
          <w:sz w:val="24"/>
          <w:szCs w:val="24"/>
        </w:rPr>
        <w:t>ation at EU level and elaborating recommendations for common access conditions and engagement models.</w:t>
      </w:r>
    </w:p>
    <w:p w14:paraId="65E4BCED" w14:textId="7297AE89" w:rsidR="00A92B38" w:rsidRPr="006340BE" w:rsidRDefault="00A92B38" w:rsidP="00F7496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The Commission will</w:t>
      </w:r>
      <w:r w:rsidR="000E6E52" w:rsidRPr="006340BE">
        <w:rPr>
          <w:rFonts w:ascii="Times New Roman" w:hAnsi="Times New Roman" w:cs="Times New Roman"/>
          <w:color w:val="000000" w:themeColor="text1"/>
          <w:sz w:val="24"/>
          <w:szCs w:val="24"/>
        </w:rPr>
        <w:t>, together with the Member States</w:t>
      </w:r>
      <w:r w:rsidRPr="006340BE">
        <w:rPr>
          <w:rFonts w:ascii="Times New Roman" w:hAnsi="Times New Roman" w:cs="Times New Roman"/>
          <w:color w:val="000000" w:themeColor="text1"/>
          <w:sz w:val="24"/>
          <w:szCs w:val="24"/>
        </w:rPr>
        <w:t>:</w:t>
      </w:r>
    </w:p>
    <w:p w14:paraId="1330CF67" w14:textId="26ECB2F5" w:rsidR="00C51AC1" w:rsidRPr="007A78F6" w:rsidRDefault="006340BE" w:rsidP="009E3399">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highlight w:val="yellow"/>
        </w:rPr>
      </w:pPr>
      <w:r w:rsidRPr="007A78F6">
        <w:rPr>
          <w:rFonts w:ascii="Times New Roman" w:hAnsi="Times New Roman" w:cs="Times New Roman"/>
          <w:color w:val="000000" w:themeColor="text1"/>
          <w:sz w:val="24"/>
          <w:szCs w:val="24"/>
          <w:highlight w:val="yellow"/>
        </w:rPr>
        <w:t xml:space="preserve">Support ESFRI to work towards </w:t>
      </w:r>
      <w:r w:rsidR="009E3399" w:rsidRPr="007A78F6">
        <w:rPr>
          <w:rFonts w:ascii="Times New Roman" w:hAnsi="Times New Roman" w:cs="Times New Roman"/>
          <w:color w:val="000000" w:themeColor="text1"/>
          <w:sz w:val="24"/>
          <w:szCs w:val="24"/>
          <w:highlight w:val="yellow"/>
        </w:rPr>
        <w:t xml:space="preserve">a </w:t>
      </w:r>
      <w:r w:rsidRPr="007A78F6">
        <w:rPr>
          <w:rFonts w:ascii="Times New Roman" w:hAnsi="Times New Roman" w:cs="Times New Roman"/>
          <w:color w:val="000000" w:themeColor="text1"/>
          <w:sz w:val="24"/>
          <w:szCs w:val="24"/>
          <w:highlight w:val="yellow"/>
        </w:rPr>
        <w:t>world-class research infrastructures ecosystem focusing on the broader range of the EU’s policy priorities and improve its governance to address the broadened focus of its activity by</w:t>
      </w:r>
      <w:r w:rsidR="00BC3C30" w:rsidRPr="007A78F6">
        <w:rPr>
          <w:rFonts w:ascii="Times New Roman" w:hAnsi="Times New Roman" w:cs="Times New Roman"/>
          <w:color w:val="000000" w:themeColor="text1"/>
          <w:sz w:val="24"/>
          <w:szCs w:val="24"/>
          <w:highlight w:val="yellow"/>
        </w:rPr>
        <w:t xml:space="preserve"> the</w:t>
      </w:r>
      <w:r w:rsidRPr="007A78F6">
        <w:rPr>
          <w:rFonts w:ascii="Times New Roman" w:hAnsi="Times New Roman" w:cs="Times New Roman"/>
          <w:color w:val="000000" w:themeColor="text1"/>
          <w:sz w:val="24"/>
          <w:szCs w:val="24"/>
          <w:highlight w:val="yellow"/>
        </w:rPr>
        <w:t xml:space="preserve"> end of 2021, and establish a new governance structure for Technology Infrastructures.</w:t>
      </w:r>
    </w:p>
    <w:p w14:paraId="6B27D6A4" w14:textId="77777777" w:rsidR="00304016" w:rsidRPr="006340BE" w:rsidRDefault="00304016" w:rsidP="008F1A23">
      <w:pPr>
        <w:keepNext/>
        <w:spacing w:before="120" w:after="0" w:line="240" w:lineRule="auto"/>
        <w:jc w:val="both"/>
        <w:rPr>
          <w:rFonts w:ascii="Times New Roman" w:hAnsi="Times New Roman" w:cs="Times New Roman"/>
          <w:color w:val="000000" w:themeColor="text1"/>
          <w:sz w:val="24"/>
          <w:szCs w:val="24"/>
          <w:u w:val="single"/>
        </w:rPr>
      </w:pPr>
      <w:r w:rsidRPr="006340BE">
        <w:rPr>
          <w:rFonts w:ascii="Times New Roman" w:hAnsi="Times New Roman" w:cs="Times New Roman"/>
          <w:color w:val="000000" w:themeColor="text1"/>
          <w:sz w:val="24"/>
          <w:szCs w:val="24"/>
          <w:u w:val="single"/>
        </w:rPr>
        <w:lastRenderedPageBreak/>
        <w:t>Strengthening the public science system through synergies with the European Education Area</w:t>
      </w:r>
    </w:p>
    <w:p w14:paraId="726236A7" w14:textId="48E6C79C" w:rsidR="00304016" w:rsidRPr="006340BE" w:rsidRDefault="00304016"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The public science system is an indispensable part of the overall R&amp;I organisation and a cornerstone of excellence for Europe’s prosperity. It consists of universities and other publicly funded research and technology organisations, which base their action on academic freedom fully embedded in the scientific culture and processes. </w:t>
      </w:r>
    </w:p>
    <w:p w14:paraId="3CD7A638" w14:textId="77777777" w:rsidR="00304016" w:rsidRPr="006340BE" w:rsidRDefault="00304016"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Freedom of discussion is essential for peer-review and for publishing verifiable results, which is a prerequisite for scientific excellence. Without academic freedom, science cannot progress and the ERA cannot function. </w:t>
      </w:r>
    </w:p>
    <w:p w14:paraId="38108E6E" w14:textId="7F291D2A" w:rsidR="00304016" w:rsidRPr="006340BE" w:rsidRDefault="00304016" w:rsidP="00F74968">
      <w:pPr>
        <w:spacing w:before="120" w:after="0" w:line="240" w:lineRule="auto"/>
        <w:jc w:val="both"/>
        <w:rPr>
          <w:rFonts w:ascii="Times New Roman" w:hAnsi="Times New Roman"/>
          <w:color w:val="000000" w:themeColor="text1"/>
          <w:sz w:val="24"/>
        </w:rPr>
      </w:pPr>
      <w:r w:rsidRPr="006340BE">
        <w:rPr>
          <w:rFonts w:ascii="Times New Roman" w:hAnsi="Times New Roman" w:cs="Times New Roman"/>
          <w:color w:val="000000" w:themeColor="text1"/>
          <w:sz w:val="24"/>
          <w:szCs w:val="24"/>
        </w:rPr>
        <w:t>The most vibrant and innovative ecosystems in the world have strong interactions with top quality universities. While Europe has many strong universities, their potential is not fully exploited. The new ERA will strengthen the R&amp;I dimension of universities through a comprehensive transformation agenda to be developed together with stakeholders and Member States and in synergy with the European Education Area (including their education, research, innovation and service to society missions).</w:t>
      </w:r>
      <w:r w:rsidRPr="006340BE">
        <w:rPr>
          <w:rFonts w:ascii="Times New Roman" w:hAnsi="Times New Roman"/>
          <w:color w:val="000000" w:themeColor="text1"/>
          <w:sz w:val="24"/>
        </w:rPr>
        <w:t xml:space="preserve"> </w:t>
      </w:r>
    </w:p>
    <w:p w14:paraId="03C193E3" w14:textId="1ABE1946" w:rsidR="0096489F" w:rsidRPr="006340BE" w:rsidRDefault="00304016" w:rsidP="00F74968">
      <w:pPr>
        <w:spacing w:before="120" w:after="0" w:line="240" w:lineRule="auto"/>
        <w:jc w:val="both"/>
        <w:rPr>
          <w:rFonts w:ascii="Times New Roman" w:hAnsi="Times New Roman"/>
          <w:color w:val="000000" w:themeColor="text1"/>
          <w:sz w:val="24"/>
        </w:rPr>
      </w:pPr>
      <w:r w:rsidRPr="006340BE">
        <w:rPr>
          <w:rFonts w:ascii="Times New Roman" w:hAnsi="Times New Roman"/>
          <w:color w:val="000000" w:themeColor="text1"/>
          <w:sz w:val="24"/>
        </w:rPr>
        <w:t xml:space="preserve">It will empower Universities in Europe to develop common R&amp;I strategies, creating critical mass to deliver on Europe’s challenges, facilitating the sharing of capacity such as digital and knowledge infrastructures and resources through collaborative settings. The aim is also to improve the attractiveness of researchers’ careers, facilitate co-operation with surrounding R&amp;I ecosystem actors and to play a key role in engaging citizens in science. </w:t>
      </w:r>
    </w:p>
    <w:p w14:paraId="00A2B980" w14:textId="0F638D10" w:rsidR="00304016" w:rsidRPr="006340BE" w:rsidRDefault="00304016" w:rsidP="00F74968">
      <w:pPr>
        <w:spacing w:before="120" w:after="0" w:line="240" w:lineRule="auto"/>
        <w:jc w:val="both"/>
        <w:rPr>
          <w:rFonts w:ascii="Times New Roman" w:hAnsi="Times New Roman"/>
          <w:color w:val="000000" w:themeColor="text1"/>
          <w:sz w:val="24"/>
        </w:rPr>
      </w:pPr>
      <w:r w:rsidRPr="007A78F6">
        <w:rPr>
          <w:rFonts w:ascii="Times New Roman" w:hAnsi="Times New Roman"/>
          <w:color w:val="000000" w:themeColor="text1"/>
          <w:sz w:val="24"/>
          <w:szCs w:val="24"/>
          <w:highlight w:val="yellow"/>
        </w:rPr>
        <w:t xml:space="preserve">The </w:t>
      </w:r>
      <w:r w:rsidRPr="007A78F6">
        <w:rPr>
          <w:rFonts w:ascii="Times New Roman" w:hAnsi="Times New Roman"/>
          <w:i/>
          <w:iCs/>
          <w:color w:val="000000" w:themeColor="text1"/>
          <w:sz w:val="24"/>
          <w:szCs w:val="24"/>
          <w:highlight w:val="yellow"/>
        </w:rPr>
        <w:t>European Universities initiative</w:t>
      </w:r>
      <w:r w:rsidRPr="007A78F6">
        <w:rPr>
          <w:rFonts w:ascii="Times New Roman" w:hAnsi="Times New Roman"/>
          <w:color w:val="000000" w:themeColor="text1"/>
          <w:sz w:val="24"/>
          <w:szCs w:val="24"/>
          <w:highlight w:val="yellow"/>
        </w:rPr>
        <w:t>,</w:t>
      </w:r>
      <w:r w:rsidRPr="006340BE">
        <w:rPr>
          <w:rFonts w:ascii="Times New Roman" w:hAnsi="Times New Roman"/>
          <w:color w:val="000000" w:themeColor="text1"/>
          <w:sz w:val="24"/>
          <w:szCs w:val="24"/>
        </w:rPr>
        <w:t xml:space="preserve"> piloted under the Erasmus programme and supported </w:t>
      </w:r>
      <w:r w:rsidR="0096489F" w:rsidRPr="006340BE">
        <w:rPr>
          <w:rFonts w:ascii="Times New Roman" w:hAnsi="Times New Roman"/>
          <w:color w:val="000000" w:themeColor="text1"/>
          <w:sz w:val="24"/>
          <w:szCs w:val="24"/>
        </w:rPr>
        <w:t xml:space="preserve">in its R&amp;I dimension </w:t>
      </w:r>
      <w:r w:rsidRPr="006340BE">
        <w:rPr>
          <w:rFonts w:ascii="Times New Roman" w:hAnsi="Times New Roman"/>
          <w:color w:val="000000" w:themeColor="text1"/>
          <w:sz w:val="24"/>
          <w:szCs w:val="24"/>
        </w:rPr>
        <w:t xml:space="preserve">by Horizon 2020, will help the transformation process offering </w:t>
      </w:r>
      <w:r w:rsidRPr="006340BE">
        <w:rPr>
          <w:rFonts w:ascii="Times New Roman" w:hAnsi="Times New Roman"/>
          <w:color w:val="000000" w:themeColor="text1"/>
          <w:sz w:val="24"/>
        </w:rPr>
        <w:t>a longer-term framework for transnational cooperation between universities</w:t>
      </w:r>
      <w:r w:rsidRPr="006340BE">
        <w:rPr>
          <w:rFonts w:ascii="Times New Roman" w:hAnsi="Times New Roman" w:cs="Times New Roman"/>
          <w:color w:val="000000" w:themeColor="text1"/>
          <w:sz w:val="24"/>
          <w:szCs w:val="24"/>
        </w:rPr>
        <w:t xml:space="preserve">, </w:t>
      </w:r>
      <w:r w:rsidRPr="006340BE">
        <w:rPr>
          <w:rFonts w:ascii="Times New Roman" w:hAnsi="Times New Roman"/>
          <w:color w:val="000000" w:themeColor="text1"/>
          <w:sz w:val="24"/>
        </w:rPr>
        <w:t>allowing for stronger borderless cooperation and circulation of knowledge and talents.</w:t>
      </w:r>
    </w:p>
    <w:p w14:paraId="1AC76013" w14:textId="416CDF36" w:rsidR="001F3F49" w:rsidRDefault="00304016" w:rsidP="00F74968">
      <w:pPr>
        <w:spacing w:before="120" w:after="0" w:line="240" w:lineRule="auto"/>
        <w:jc w:val="both"/>
        <w:rPr>
          <w:rFonts w:ascii="Times New Roman" w:hAnsi="Times New Roman"/>
          <w:color w:val="000000" w:themeColor="text1"/>
          <w:sz w:val="24"/>
        </w:rPr>
      </w:pPr>
      <w:r w:rsidRPr="006340BE">
        <w:rPr>
          <w:rFonts w:ascii="Times New Roman" w:hAnsi="Times New Roman"/>
          <w:color w:val="000000" w:themeColor="text1"/>
          <w:sz w:val="24"/>
        </w:rPr>
        <w:t>Large-scale concerted action in support of the institutional transformation efforts of universities will be based on a roadmap of EU, national and regional actions for better use of synergies between Union programmes including Horizon Europe, Erasmus, ESF</w:t>
      </w:r>
      <w:r w:rsidR="0085713F" w:rsidRPr="006340BE">
        <w:rPr>
          <w:rFonts w:ascii="Times New Roman" w:hAnsi="Times New Roman"/>
          <w:color w:val="000000" w:themeColor="text1"/>
          <w:sz w:val="24"/>
        </w:rPr>
        <w:t>+</w:t>
      </w:r>
      <w:r w:rsidRPr="006340BE">
        <w:rPr>
          <w:rFonts w:ascii="Times New Roman" w:hAnsi="Times New Roman"/>
          <w:color w:val="000000" w:themeColor="text1"/>
          <w:sz w:val="24"/>
        </w:rPr>
        <w:t xml:space="preserve"> and ERDF and private R&amp;I investments, notably through the support of the </w:t>
      </w:r>
      <w:proofErr w:type="spellStart"/>
      <w:r w:rsidRPr="006340BE">
        <w:rPr>
          <w:rFonts w:ascii="Times New Roman" w:hAnsi="Times New Roman"/>
          <w:color w:val="000000" w:themeColor="text1"/>
          <w:sz w:val="24"/>
        </w:rPr>
        <w:t>InvestEU</w:t>
      </w:r>
      <w:proofErr w:type="spellEnd"/>
      <w:r w:rsidRPr="006340BE">
        <w:rPr>
          <w:rFonts w:ascii="Times New Roman" w:hAnsi="Times New Roman"/>
          <w:color w:val="000000" w:themeColor="text1"/>
          <w:sz w:val="24"/>
        </w:rPr>
        <w:t xml:space="preserve"> programme.</w:t>
      </w:r>
      <w:r w:rsidR="00FA1731">
        <w:rPr>
          <w:rFonts w:ascii="Times New Roman" w:hAnsi="Times New Roman"/>
          <w:color w:val="000000" w:themeColor="text1"/>
          <w:sz w:val="24"/>
        </w:rPr>
        <w:t xml:space="preserve"> </w:t>
      </w:r>
    </w:p>
    <w:p w14:paraId="08BBE16E" w14:textId="77777777" w:rsidR="00D94C4C" w:rsidRPr="006340BE" w:rsidRDefault="00D94C4C" w:rsidP="00F74968">
      <w:pPr>
        <w:spacing w:before="120" w:after="0" w:line="240" w:lineRule="auto"/>
        <w:jc w:val="both"/>
        <w:rPr>
          <w:rFonts w:ascii="Times New Roman" w:hAnsi="Times New Roman"/>
          <w:color w:val="000000" w:themeColor="text1"/>
          <w:sz w:val="24"/>
        </w:rPr>
      </w:pPr>
    </w:p>
    <w:p w14:paraId="5A79C702" w14:textId="793A81DA" w:rsidR="00304016" w:rsidRPr="007A78F6" w:rsidRDefault="00304016" w:rsidP="004C70A4">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highlight w:val="yellow"/>
        </w:rPr>
      </w:pPr>
      <w:r w:rsidRPr="007A78F6">
        <w:rPr>
          <w:rFonts w:ascii="Times New Roman" w:hAnsi="Times New Roman" w:cs="Times New Roman"/>
          <w:color w:val="000000" w:themeColor="text1"/>
          <w:sz w:val="24"/>
          <w:szCs w:val="24"/>
          <w:highlight w:val="yellow"/>
        </w:rPr>
        <w:t>The Commission will</w:t>
      </w:r>
      <w:r w:rsidR="00FE03B8" w:rsidRPr="007A78F6">
        <w:rPr>
          <w:rFonts w:ascii="Times New Roman" w:hAnsi="Times New Roman" w:cs="Times New Roman"/>
          <w:color w:val="000000" w:themeColor="text1"/>
          <w:sz w:val="24"/>
          <w:szCs w:val="24"/>
          <w:highlight w:val="yellow"/>
        </w:rPr>
        <w:t>, together with the Member States</w:t>
      </w:r>
      <w:r w:rsidR="008F1E6D" w:rsidRPr="007A78F6">
        <w:rPr>
          <w:rFonts w:ascii="Times New Roman" w:hAnsi="Times New Roman" w:cs="Times New Roman"/>
          <w:color w:val="000000" w:themeColor="text1"/>
          <w:sz w:val="24"/>
          <w:szCs w:val="24"/>
          <w:highlight w:val="yellow"/>
        </w:rPr>
        <w:t xml:space="preserve"> through the EEA and ERAC steering bodies</w:t>
      </w:r>
      <w:r w:rsidRPr="007A78F6">
        <w:rPr>
          <w:rFonts w:ascii="Times New Roman" w:hAnsi="Times New Roman" w:cs="Times New Roman"/>
          <w:color w:val="000000" w:themeColor="text1"/>
          <w:sz w:val="24"/>
          <w:szCs w:val="24"/>
          <w:highlight w:val="yellow"/>
        </w:rPr>
        <w:t>:</w:t>
      </w:r>
    </w:p>
    <w:p w14:paraId="0CD48D25" w14:textId="1111226C" w:rsidR="00304016" w:rsidRPr="007A78F6" w:rsidRDefault="008F1E6D" w:rsidP="009E3399">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highlight w:val="yellow"/>
        </w:rPr>
      </w:pPr>
      <w:r w:rsidRPr="007A78F6">
        <w:rPr>
          <w:rFonts w:ascii="Times New Roman" w:hAnsi="Times New Roman" w:cs="Times New Roman"/>
          <w:color w:val="000000" w:themeColor="text1"/>
          <w:sz w:val="24"/>
          <w:szCs w:val="24"/>
          <w:highlight w:val="yellow"/>
        </w:rPr>
        <w:t xml:space="preserve">Develop </w:t>
      </w:r>
      <w:r w:rsidR="00FA1731" w:rsidRPr="007A78F6">
        <w:rPr>
          <w:rFonts w:ascii="Times New Roman" w:hAnsi="Times New Roman" w:cs="Times New Roman"/>
          <w:color w:val="000000" w:themeColor="text1"/>
          <w:sz w:val="24"/>
          <w:szCs w:val="24"/>
          <w:highlight w:val="yellow"/>
        </w:rPr>
        <w:t xml:space="preserve">a roadmap of actions </w:t>
      </w:r>
      <w:r w:rsidR="0096319C" w:rsidRPr="007A78F6">
        <w:rPr>
          <w:rFonts w:ascii="Times New Roman" w:hAnsi="Times New Roman" w:cs="Times New Roman"/>
          <w:color w:val="000000" w:themeColor="text1"/>
          <w:sz w:val="24"/>
          <w:szCs w:val="24"/>
          <w:highlight w:val="yellow"/>
        </w:rPr>
        <w:t xml:space="preserve">for creating synergies between </w:t>
      </w:r>
      <w:r w:rsidR="00417177" w:rsidRPr="007A78F6">
        <w:rPr>
          <w:rFonts w:ascii="Times New Roman" w:hAnsi="Times New Roman" w:cs="Times New Roman"/>
          <w:color w:val="000000" w:themeColor="text1"/>
          <w:sz w:val="24"/>
          <w:szCs w:val="24"/>
          <w:highlight w:val="yellow"/>
        </w:rPr>
        <w:t>h</w:t>
      </w:r>
      <w:r w:rsidR="00FA1731" w:rsidRPr="007A78F6">
        <w:rPr>
          <w:rFonts w:ascii="Times New Roman" w:hAnsi="Times New Roman" w:cs="Times New Roman"/>
          <w:color w:val="000000" w:themeColor="text1"/>
          <w:sz w:val="24"/>
          <w:szCs w:val="24"/>
          <w:highlight w:val="yellow"/>
        </w:rPr>
        <w:t xml:space="preserve">igher </w:t>
      </w:r>
      <w:r w:rsidR="00417177" w:rsidRPr="007A78F6">
        <w:rPr>
          <w:rFonts w:ascii="Times New Roman" w:hAnsi="Times New Roman" w:cs="Times New Roman"/>
          <w:color w:val="000000" w:themeColor="text1"/>
          <w:sz w:val="24"/>
          <w:szCs w:val="24"/>
          <w:highlight w:val="yellow"/>
        </w:rPr>
        <w:t>e</w:t>
      </w:r>
      <w:r w:rsidR="00FA1731" w:rsidRPr="007A78F6">
        <w:rPr>
          <w:rFonts w:ascii="Times New Roman" w:hAnsi="Times New Roman" w:cs="Times New Roman"/>
          <w:color w:val="000000" w:themeColor="text1"/>
          <w:sz w:val="24"/>
          <w:szCs w:val="24"/>
          <w:highlight w:val="yellow"/>
        </w:rPr>
        <w:t xml:space="preserve">ducation and </w:t>
      </w:r>
      <w:r w:rsidR="00417177" w:rsidRPr="007A78F6">
        <w:rPr>
          <w:rFonts w:ascii="Times New Roman" w:hAnsi="Times New Roman" w:cs="Times New Roman"/>
          <w:color w:val="000000" w:themeColor="text1"/>
          <w:sz w:val="24"/>
          <w:szCs w:val="24"/>
          <w:highlight w:val="yellow"/>
        </w:rPr>
        <w:t>r</w:t>
      </w:r>
      <w:r w:rsidR="00FA1731" w:rsidRPr="007A78F6">
        <w:rPr>
          <w:rFonts w:ascii="Times New Roman" w:hAnsi="Times New Roman" w:cs="Times New Roman"/>
          <w:color w:val="000000" w:themeColor="text1"/>
          <w:sz w:val="24"/>
          <w:szCs w:val="24"/>
          <w:highlight w:val="yellow"/>
        </w:rPr>
        <w:t>esearch</w:t>
      </w:r>
      <w:r w:rsidR="0096319C" w:rsidRPr="007A78F6">
        <w:rPr>
          <w:rFonts w:ascii="Times New Roman" w:hAnsi="Times New Roman" w:cs="Times New Roman"/>
          <w:color w:val="000000" w:themeColor="text1"/>
          <w:sz w:val="24"/>
          <w:szCs w:val="24"/>
          <w:highlight w:val="yellow"/>
        </w:rPr>
        <w:t>, notably building on the dual role of universities</w:t>
      </w:r>
      <w:r w:rsidR="00304016" w:rsidRPr="007A78F6">
        <w:rPr>
          <w:rFonts w:ascii="Times New Roman" w:hAnsi="Times New Roman" w:cs="Times New Roman"/>
          <w:color w:val="000000" w:themeColor="text1"/>
          <w:sz w:val="24"/>
          <w:szCs w:val="24"/>
          <w:highlight w:val="yellow"/>
        </w:rPr>
        <w:t>.</w:t>
      </w:r>
    </w:p>
    <w:p w14:paraId="1437F352" w14:textId="77777777" w:rsidR="007E71C3" w:rsidRPr="006340BE" w:rsidRDefault="007E71C3" w:rsidP="00F74968">
      <w:pPr>
        <w:spacing w:before="120" w:after="0" w:line="240" w:lineRule="auto"/>
        <w:jc w:val="both"/>
        <w:rPr>
          <w:rFonts w:ascii="Times New Roman" w:hAnsi="Times New Roman" w:cs="Times New Roman"/>
          <w:color w:val="000000" w:themeColor="text1"/>
          <w:sz w:val="24"/>
          <w:szCs w:val="24"/>
          <w:u w:val="single"/>
        </w:rPr>
      </w:pPr>
      <w:r w:rsidRPr="006340BE">
        <w:rPr>
          <w:rFonts w:ascii="Times New Roman" w:hAnsi="Times New Roman" w:cs="Times New Roman"/>
          <w:color w:val="000000" w:themeColor="text1"/>
          <w:sz w:val="24"/>
          <w:szCs w:val="24"/>
          <w:u w:val="single"/>
        </w:rPr>
        <w:t xml:space="preserve">Gender equality to strengthen the European R&amp;I potential </w:t>
      </w:r>
    </w:p>
    <w:p w14:paraId="417E416B" w14:textId="75070A16" w:rsidR="007E71C3" w:rsidRPr="006340BE" w:rsidRDefault="007E71C3"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Despite evidence that balanced teams perform better, gender inequalities persist in Europe’s R&amp;I systems. Coordinated action with education policies and research funders will promote a gender-inclusive culture. </w:t>
      </w:r>
    </w:p>
    <w:p w14:paraId="23A07B4B" w14:textId="6FD06216" w:rsidR="007E71C3" w:rsidRPr="006340BE" w:rsidRDefault="007E71C3"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The </w:t>
      </w:r>
      <w:r w:rsidRPr="006340BE">
        <w:rPr>
          <w:rFonts w:ascii="Times New Roman" w:hAnsi="Times New Roman" w:cs="Times New Roman"/>
          <w:i/>
          <w:iCs/>
          <w:color w:val="000000" w:themeColor="text1"/>
          <w:sz w:val="24"/>
          <w:szCs w:val="24"/>
        </w:rPr>
        <w:t>She Figures 2018</w:t>
      </w:r>
      <w:r w:rsidRPr="006340BE">
        <w:rPr>
          <w:rStyle w:val="FootnoteReference"/>
          <w:rFonts w:ascii="Times New Roman" w:hAnsi="Times New Roman" w:cs="Times New Roman"/>
          <w:color w:val="000000" w:themeColor="text1"/>
          <w:sz w:val="24"/>
          <w:szCs w:val="24"/>
        </w:rPr>
        <w:footnoteReference w:id="54"/>
      </w:r>
      <w:r w:rsidRPr="006340BE">
        <w:rPr>
          <w:rFonts w:ascii="Times New Roman" w:hAnsi="Times New Roman" w:cs="Times New Roman"/>
          <w:color w:val="000000" w:themeColor="text1"/>
          <w:sz w:val="24"/>
          <w:szCs w:val="24"/>
        </w:rPr>
        <w:t xml:space="preserve"> report presents overall improvement, but the pace remains too slow. Gender balance in PhD graduates (48% women) has nearly been reached. Yet, women remain significantly under-represented: only 33.4% of researchers in the EU are women, the share of women in Grade A positions in the Higher Education Sector (full professor and equivalent) reached</w:t>
      </w:r>
      <w:r w:rsidR="000E2C91" w:rsidRPr="006340BE">
        <w:rPr>
          <w:rFonts w:ascii="Times New Roman" w:hAnsi="Times New Roman" w:cs="Times New Roman"/>
          <w:color w:val="000000" w:themeColor="text1"/>
          <w:sz w:val="24"/>
          <w:szCs w:val="24"/>
        </w:rPr>
        <w:t xml:space="preserve"> just 24% for the EU i</w:t>
      </w:r>
      <w:r w:rsidRPr="006340BE">
        <w:rPr>
          <w:rFonts w:ascii="Times New Roman" w:hAnsi="Times New Roman" w:cs="Times New Roman"/>
          <w:color w:val="000000" w:themeColor="text1"/>
          <w:sz w:val="24"/>
          <w:szCs w:val="24"/>
        </w:rPr>
        <w:t>n 2016 and the proportion of women heading higher education institutions in Europe was only 22% in 2017.</w:t>
      </w:r>
    </w:p>
    <w:p w14:paraId="5EA6A26B" w14:textId="2A1ADE76" w:rsidR="007E71C3" w:rsidRPr="006340BE" w:rsidRDefault="007E71C3"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lastRenderedPageBreak/>
        <w:t xml:space="preserve">The number of women among patent holders, also remain extremely low and only 1.79% of scientific publications of the EU integrate a gender </w:t>
      </w:r>
      <w:r w:rsidR="00B77E8D" w:rsidRPr="006340BE">
        <w:rPr>
          <w:rFonts w:ascii="Times New Roman" w:hAnsi="Times New Roman" w:cs="Times New Roman"/>
          <w:color w:val="000000" w:themeColor="text1"/>
          <w:sz w:val="24"/>
          <w:szCs w:val="24"/>
        </w:rPr>
        <w:t>analysis</w:t>
      </w:r>
      <w:r w:rsidRPr="006340BE">
        <w:rPr>
          <w:rFonts w:ascii="Times New Roman" w:hAnsi="Times New Roman" w:cs="Times New Roman"/>
          <w:color w:val="000000" w:themeColor="text1"/>
          <w:sz w:val="24"/>
          <w:szCs w:val="24"/>
        </w:rPr>
        <w:t>. Ambitious targets need to be set at EU level to enact sustainable change in R&amp;I institutions and foster a pipeline of female talent.</w:t>
      </w:r>
    </w:p>
    <w:p w14:paraId="7AD18140" w14:textId="1ACF7965" w:rsidR="007E71C3" w:rsidRPr="009E3399" w:rsidRDefault="007E71C3" w:rsidP="00F74968">
      <w:pPr>
        <w:spacing w:before="120" w:after="0" w:line="240" w:lineRule="auto"/>
        <w:jc w:val="both"/>
        <w:rPr>
          <w:color w:val="000000" w:themeColor="text1"/>
        </w:rPr>
      </w:pPr>
      <w:r w:rsidRPr="006340BE">
        <w:rPr>
          <w:rFonts w:ascii="Times New Roman" w:hAnsi="Times New Roman" w:cs="Times New Roman"/>
          <w:color w:val="000000" w:themeColor="text1"/>
          <w:sz w:val="24"/>
          <w:szCs w:val="24"/>
        </w:rPr>
        <w:t>In concert with the Skills Agenda</w:t>
      </w:r>
      <w:r w:rsidR="00F25206" w:rsidRPr="006340BE">
        <w:rPr>
          <w:rFonts w:ascii="Times New Roman" w:hAnsi="Times New Roman" w:cs="Times New Roman"/>
          <w:color w:val="000000" w:themeColor="text1"/>
          <w:sz w:val="24"/>
          <w:szCs w:val="24"/>
        </w:rPr>
        <w:t>, the Communication on the European Education Area</w:t>
      </w:r>
      <w:r w:rsidRPr="006340BE">
        <w:rPr>
          <w:rFonts w:ascii="Times New Roman" w:hAnsi="Times New Roman" w:cs="Times New Roman"/>
          <w:color w:val="000000" w:themeColor="text1"/>
          <w:sz w:val="24"/>
          <w:szCs w:val="24"/>
        </w:rPr>
        <w:t xml:space="preserve"> and the new Digital Education Action Plan, the ERA will strengthen the focus on participation of women in Science, Technology, Engineering and Mathematics (STEM) fields and foster entrepreneurship. There is also a need to address diversity by opening policy to intersections with other social categories, such as ethnicity, disability</w:t>
      </w:r>
      <w:r w:rsidR="0085713F" w:rsidRPr="006340BE">
        <w:rPr>
          <w:rFonts w:ascii="Times New Roman" w:hAnsi="Times New Roman" w:cs="Times New Roman"/>
          <w:color w:val="000000" w:themeColor="text1"/>
          <w:sz w:val="24"/>
          <w:szCs w:val="24"/>
        </w:rPr>
        <w:t xml:space="preserve"> (including accessibility and inclusion)</w:t>
      </w:r>
      <w:r w:rsidR="0081737C" w:rsidRPr="006340BE">
        <w:rPr>
          <w:rFonts w:ascii="Times New Roman" w:hAnsi="Times New Roman" w:cs="Times New Roman"/>
          <w:color w:val="000000" w:themeColor="text1"/>
          <w:sz w:val="24"/>
          <w:szCs w:val="24"/>
        </w:rPr>
        <w:t xml:space="preserve"> </w:t>
      </w:r>
      <w:r w:rsidRPr="006340BE">
        <w:rPr>
          <w:rFonts w:ascii="Times New Roman" w:hAnsi="Times New Roman" w:cs="Times New Roman"/>
          <w:color w:val="000000" w:themeColor="text1"/>
          <w:sz w:val="24"/>
          <w:szCs w:val="24"/>
        </w:rPr>
        <w:t>and sexual orientation</w:t>
      </w:r>
      <w:r w:rsidR="0085713F" w:rsidRPr="006340BE">
        <w:rPr>
          <w:rFonts w:ascii="Times New Roman" w:hAnsi="Times New Roman" w:cs="Times New Roman"/>
          <w:color w:val="000000" w:themeColor="text1"/>
          <w:sz w:val="24"/>
          <w:szCs w:val="24"/>
        </w:rPr>
        <w:t>,</w:t>
      </w:r>
      <w:r w:rsidRPr="006340BE">
        <w:rPr>
          <w:rFonts w:ascii="Times New Roman" w:hAnsi="Times New Roman" w:cs="Times New Roman"/>
          <w:color w:val="000000" w:themeColor="text1"/>
          <w:sz w:val="24"/>
          <w:szCs w:val="24"/>
        </w:rPr>
        <w:t xml:space="preserve"> as well as gender-based </w:t>
      </w:r>
      <w:r w:rsidR="005901EA" w:rsidRPr="006340BE">
        <w:rPr>
          <w:rFonts w:ascii="Times New Roman" w:hAnsi="Times New Roman" w:cs="Times New Roman"/>
          <w:color w:val="000000" w:themeColor="text1"/>
          <w:sz w:val="24"/>
          <w:szCs w:val="24"/>
        </w:rPr>
        <w:t xml:space="preserve">discrimination and </w:t>
      </w:r>
      <w:r w:rsidRPr="006340BE">
        <w:rPr>
          <w:rFonts w:ascii="Times New Roman" w:hAnsi="Times New Roman" w:cs="Times New Roman"/>
          <w:color w:val="000000" w:themeColor="text1"/>
          <w:sz w:val="24"/>
          <w:szCs w:val="24"/>
        </w:rPr>
        <w:t>violence in R&amp;I organisations</w:t>
      </w:r>
      <w:r w:rsidRPr="009E3399">
        <w:rPr>
          <w:color w:val="000000" w:themeColor="text1"/>
          <w:vertAlign w:val="superscript"/>
        </w:rPr>
        <w:footnoteReference w:id="55"/>
      </w:r>
      <w:r w:rsidRPr="006340BE">
        <w:rPr>
          <w:rFonts w:ascii="Times New Roman" w:hAnsi="Times New Roman" w:cs="Times New Roman"/>
          <w:color w:val="000000" w:themeColor="text1"/>
          <w:sz w:val="24"/>
          <w:szCs w:val="24"/>
        </w:rPr>
        <w:t>.</w:t>
      </w:r>
    </w:p>
    <w:p w14:paraId="52586A90" w14:textId="77777777" w:rsidR="007E71C3" w:rsidRPr="007A78F6" w:rsidRDefault="007E71C3" w:rsidP="00F7496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highlight w:val="yellow"/>
        </w:rPr>
      </w:pPr>
      <w:r w:rsidRPr="007A78F6">
        <w:rPr>
          <w:rFonts w:ascii="Times New Roman" w:hAnsi="Times New Roman" w:cs="Times New Roman"/>
          <w:color w:val="000000" w:themeColor="text1"/>
          <w:sz w:val="24"/>
          <w:szCs w:val="24"/>
          <w:highlight w:val="yellow"/>
        </w:rPr>
        <w:t>The Commission will:</w:t>
      </w:r>
      <w:r w:rsidRPr="007A78F6">
        <w:rPr>
          <w:color w:val="000000" w:themeColor="text1"/>
          <w:highlight w:val="yellow"/>
        </w:rPr>
        <w:t xml:space="preserve"> </w:t>
      </w:r>
    </w:p>
    <w:p w14:paraId="24FCE8F6" w14:textId="5F53190B" w:rsidR="007E71C3" w:rsidRPr="007A78F6" w:rsidRDefault="007E71C3" w:rsidP="009E3399">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highlight w:val="yellow"/>
        </w:rPr>
      </w:pPr>
      <w:r w:rsidRPr="007A78F6">
        <w:rPr>
          <w:rFonts w:ascii="Times New Roman" w:hAnsi="Times New Roman" w:cs="Times New Roman"/>
          <w:color w:val="000000" w:themeColor="text1"/>
          <w:sz w:val="24"/>
          <w:szCs w:val="24"/>
          <w:highlight w:val="yellow"/>
        </w:rPr>
        <w:t>Propose</w:t>
      </w:r>
      <w:r w:rsidR="0096319C" w:rsidRPr="007A78F6">
        <w:rPr>
          <w:rFonts w:ascii="Times New Roman" w:hAnsi="Times New Roman" w:cs="Times New Roman"/>
          <w:color w:val="000000" w:themeColor="text1"/>
          <w:sz w:val="24"/>
          <w:szCs w:val="24"/>
          <w:highlight w:val="yellow"/>
        </w:rPr>
        <w:t xml:space="preserve"> as of</w:t>
      </w:r>
      <w:r w:rsidR="004E520E" w:rsidRPr="007A78F6">
        <w:rPr>
          <w:rFonts w:ascii="Times New Roman" w:hAnsi="Times New Roman" w:cs="Times New Roman"/>
          <w:color w:val="000000" w:themeColor="text1"/>
          <w:sz w:val="24"/>
          <w:szCs w:val="24"/>
          <w:highlight w:val="yellow"/>
        </w:rPr>
        <w:t xml:space="preserve"> 2021, </w:t>
      </w:r>
      <w:r w:rsidRPr="007A78F6">
        <w:rPr>
          <w:rFonts w:ascii="Times New Roman" w:hAnsi="Times New Roman" w:cs="Times New Roman"/>
          <w:color w:val="000000" w:themeColor="text1"/>
          <w:sz w:val="24"/>
          <w:szCs w:val="24"/>
          <w:highlight w:val="yellow"/>
        </w:rPr>
        <w:t xml:space="preserve">in line with the Horizon Europe programme objectives, the development of </w:t>
      </w:r>
      <w:r w:rsidR="00560954" w:rsidRPr="007A78F6">
        <w:rPr>
          <w:rFonts w:ascii="Times New Roman" w:hAnsi="Times New Roman" w:cs="Times New Roman"/>
          <w:color w:val="000000" w:themeColor="text1"/>
          <w:sz w:val="24"/>
          <w:szCs w:val="24"/>
          <w:highlight w:val="yellow"/>
        </w:rPr>
        <w:t xml:space="preserve">inclusive </w:t>
      </w:r>
      <w:r w:rsidRPr="007A78F6">
        <w:rPr>
          <w:rFonts w:ascii="Times New Roman" w:hAnsi="Times New Roman" w:cs="Times New Roman"/>
          <w:color w:val="000000" w:themeColor="text1"/>
          <w:sz w:val="24"/>
          <w:szCs w:val="24"/>
          <w:highlight w:val="yellow"/>
        </w:rPr>
        <w:t xml:space="preserve">gender </w:t>
      </w:r>
      <w:r w:rsidR="00560954" w:rsidRPr="007A78F6">
        <w:rPr>
          <w:rFonts w:ascii="Times New Roman" w:hAnsi="Times New Roman" w:cs="Times New Roman"/>
          <w:color w:val="000000" w:themeColor="text1"/>
          <w:sz w:val="24"/>
          <w:szCs w:val="24"/>
          <w:highlight w:val="yellow"/>
        </w:rPr>
        <w:t xml:space="preserve">equality </w:t>
      </w:r>
      <w:r w:rsidRPr="007A78F6">
        <w:rPr>
          <w:rFonts w:ascii="Times New Roman" w:hAnsi="Times New Roman" w:cs="Times New Roman"/>
          <w:color w:val="000000" w:themeColor="text1"/>
          <w:sz w:val="24"/>
          <w:szCs w:val="24"/>
          <w:highlight w:val="yellow"/>
        </w:rPr>
        <w:t xml:space="preserve">plans with Member States and stakeholders in order to promote EU gender equality in </w:t>
      </w:r>
      <w:proofErr w:type="gramStart"/>
      <w:r w:rsidRPr="007A78F6">
        <w:rPr>
          <w:rFonts w:ascii="Times New Roman" w:hAnsi="Times New Roman" w:cs="Times New Roman"/>
          <w:color w:val="000000" w:themeColor="text1"/>
          <w:sz w:val="24"/>
          <w:szCs w:val="24"/>
          <w:highlight w:val="yellow"/>
        </w:rPr>
        <w:t>R&amp;I</w:t>
      </w:r>
      <w:proofErr w:type="gramEnd"/>
      <w:r w:rsidRPr="007A78F6">
        <w:rPr>
          <w:rFonts w:ascii="Times New Roman" w:hAnsi="Times New Roman" w:cs="Times New Roman"/>
          <w:color w:val="000000" w:themeColor="text1"/>
          <w:sz w:val="24"/>
          <w:szCs w:val="24"/>
          <w:highlight w:val="yellow"/>
        </w:rPr>
        <w:t>.</w:t>
      </w:r>
      <w:r w:rsidRPr="007A78F6" w:rsidDel="000C5938">
        <w:rPr>
          <w:rFonts w:ascii="Times New Roman" w:hAnsi="Times New Roman" w:cs="Times New Roman"/>
          <w:color w:val="000000" w:themeColor="text1"/>
          <w:sz w:val="24"/>
          <w:szCs w:val="24"/>
          <w:highlight w:val="yellow"/>
        </w:rPr>
        <w:t xml:space="preserve"> </w:t>
      </w:r>
    </w:p>
    <w:p w14:paraId="52916D32" w14:textId="49A8217C" w:rsidR="00A462DA" w:rsidRPr="006340BE" w:rsidRDefault="00000D79" w:rsidP="000E2C91">
      <w:pPr>
        <w:pStyle w:val="Style1"/>
        <w:spacing w:before="240"/>
        <w:ind w:left="357" w:hanging="357"/>
        <w:rPr>
          <w:color w:val="000000" w:themeColor="text1"/>
        </w:rPr>
      </w:pPr>
      <w:bookmarkStart w:id="6" w:name="_Toc51507627"/>
      <w:bookmarkStart w:id="7" w:name="_Toc51507769"/>
      <w:bookmarkStart w:id="8" w:name="_Toc51507890"/>
      <w:bookmarkStart w:id="9" w:name="_Toc51507941"/>
      <w:bookmarkStart w:id="10" w:name="_Toc51534323"/>
      <w:bookmarkEnd w:id="6"/>
      <w:bookmarkEnd w:id="7"/>
      <w:bookmarkEnd w:id="8"/>
      <w:bookmarkEnd w:id="9"/>
      <w:r w:rsidRPr="006340BE">
        <w:rPr>
          <w:color w:val="000000" w:themeColor="text1"/>
        </w:rPr>
        <w:t>C</w:t>
      </w:r>
      <w:r w:rsidR="00A462DA" w:rsidRPr="006340BE">
        <w:rPr>
          <w:color w:val="000000" w:themeColor="text1"/>
        </w:rPr>
        <w:t>itizens’ engagement</w:t>
      </w:r>
      <w:bookmarkEnd w:id="10"/>
      <w:r w:rsidR="00A462DA" w:rsidRPr="006340BE">
        <w:rPr>
          <w:color w:val="000000" w:themeColor="text1"/>
        </w:rPr>
        <w:t xml:space="preserve"> </w:t>
      </w:r>
    </w:p>
    <w:p w14:paraId="3016FBA5" w14:textId="3B7C7BE1" w:rsidR="00953F0E" w:rsidRPr="006340BE" w:rsidRDefault="008F4DD2">
      <w:pPr>
        <w:autoSpaceDE w:val="0"/>
        <w:autoSpaceDN w:val="0"/>
        <w:adjustRightInd w:val="0"/>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 xml:space="preserve">The </w:t>
      </w:r>
      <w:r w:rsidR="00953F0E" w:rsidRPr="006340BE">
        <w:rPr>
          <w:rFonts w:ascii="Times New Roman" w:hAnsi="Times New Roman" w:cs="Times New Roman"/>
          <w:bCs/>
          <w:color w:val="000000" w:themeColor="text1"/>
          <w:sz w:val="24"/>
          <w:szCs w:val="24"/>
        </w:rPr>
        <w:t xml:space="preserve">engagement </w:t>
      </w:r>
      <w:r w:rsidR="00B77E8D" w:rsidRPr="006340BE">
        <w:rPr>
          <w:rFonts w:ascii="Times New Roman" w:hAnsi="Times New Roman" w:cs="Times New Roman"/>
          <w:bCs/>
          <w:color w:val="000000" w:themeColor="text1"/>
          <w:sz w:val="24"/>
          <w:szCs w:val="24"/>
        </w:rPr>
        <w:t xml:space="preserve">of citizens, local communities and civil society </w:t>
      </w:r>
      <w:r w:rsidR="00953F0E" w:rsidRPr="006340BE">
        <w:rPr>
          <w:rFonts w:ascii="Times New Roman" w:hAnsi="Times New Roman" w:cs="Times New Roman"/>
          <w:bCs/>
          <w:color w:val="000000" w:themeColor="text1"/>
          <w:sz w:val="24"/>
          <w:szCs w:val="24"/>
        </w:rPr>
        <w:t xml:space="preserve">will be at the core of </w:t>
      </w:r>
      <w:r w:rsidR="004C6402" w:rsidRPr="006340BE">
        <w:rPr>
          <w:rFonts w:ascii="Times New Roman" w:hAnsi="Times New Roman" w:cs="Times New Roman"/>
          <w:bCs/>
          <w:color w:val="000000" w:themeColor="text1"/>
          <w:sz w:val="24"/>
          <w:szCs w:val="24"/>
        </w:rPr>
        <w:t xml:space="preserve">the </w:t>
      </w:r>
      <w:r w:rsidRPr="006340BE">
        <w:rPr>
          <w:rFonts w:ascii="Times New Roman" w:hAnsi="Times New Roman" w:cs="Times New Roman"/>
          <w:bCs/>
          <w:color w:val="000000" w:themeColor="text1"/>
          <w:sz w:val="24"/>
          <w:szCs w:val="24"/>
        </w:rPr>
        <w:t xml:space="preserve">new </w:t>
      </w:r>
      <w:r w:rsidR="00953F0E" w:rsidRPr="006340BE">
        <w:rPr>
          <w:rFonts w:ascii="Times New Roman" w:hAnsi="Times New Roman" w:cs="Times New Roman"/>
          <w:bCs/>
          <w:color w:val="000000" w:themeColor="text1"/>
          <w:sz w:val="24"/>
          <w:szCs w:val="24"/>
        </w:rPr>
        <w:t>ERA to achieve greater societal impact and increased trust in science</w:t>
      </w:r>
      <w:r w:rsidRPr="006340BE">
        <w:rPr>
          <w:rFonts w:ascii="Times New Roman" w:hAnsi="Times New Roman" w:cs="Times New Roman"/>
          <w:bCs/>
          <w:color w:val="000000" w:themeColor="text1"/>
          <w:sz w:val="24"/>
          <w:szCs w:val="24"/>
        </w:rPr>
        <w:t>.</w:t>
      </w:r>
      <w:r w:rsidR="00953F0E" w:rsidRPr="006340BE">
        <w:rPr>
          <w:rFonts w:ascii="Times New Roman" w:hAnsi="Times New Roman" w:cs="Times New Roman"/>
          <w:bCs/>
          <w:color w:val="000000" w:themeColor="text1"/>
          <w:sz w:val="24"/>
          <w:szCs w:val="24"/>
        </w:rPr>
        <w:t xml:space="preserve"> </w:t>
      </w:r>
    </w:p>
    <w:p w14:paraId="7CC0B2AB" w14:textId="530E7C1A" w:rsidR="008F4DD2" w:rsidRPr="006340BE" w:rsidRDefault="008F4DD2" w:rsidP="00F74968">
      <w:pPr>
        <w:autoSpaceDE w:val="0"/>
        <w:autoSpaceDN w:val="0"/>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 xml:space="preserve">Building on the key role of science during the COVID-19 pandemic, Member States, research organisations and industry should </w:t>
      </w:r>
      <w:r w:rsidR="00B77E8D" w:rsidRPr="006340BE">
        <w:rPr>
          <w:rFonts w:ascii="Times New Roman" w:hAnsi="Times New Roman" w:cs="Times New Roman"/>
          <w:bCs/>
          <w:color w:val="000000" w:themeColor="text1"/>
          <w:sz w:val="24"/>
          <w:szCs w:val="24"/>
        </w:rPr>
        <w:t xml:space="preserve">involve citizens in </w:t>
      </w:r>
      <w:r w:rsidRPr="006340BE">
        <w:rPr>
          <w:rFonts w:ascii="Times New Roman" w:hAnsi="Times New Roman" w:cs="Times New Roman"/>
          <w:bCs/>
          <w:color w:val="000000" w:themeColor="text1"/>
          <w:sz w:val="24"/>
          <w:szCs w:val="24"/>
        </w:rPr>
        <w:t>technology choices.</w:t>
      </w:r>
      <w:r w:rsidR="00B769F0" w:rsidRPr="006340BE">
        <w:rPr>
          <w:rFonts w:ascii="Times New Roman" w:hAnsi="Times New Roman" w:cs="Times New Roman"/>
          <w:bCs/>
          <w:color w:val="000000" w:themeColor="text1"/>
          <w:sz w:val="24"/>
          <w:szCs w:val="24"/>
        </w:rPr>
        <w:t xml:space="preserve"> </w:t>
      </w:r>
      <w:r w:rsidR="00B77E8D" w:rsidRPr="006340BE">
        <w:rPr>
          <w:rFonts w:ascii="Times New Roman" w:hAnsi="Times New Roman" w:cs="Times New Roman"/>
          <w:bCs/>
          <w:color w:val="000000" w:themeColor="text1"/>
          <w:sz w:val="24"/>
          <w:szCs w:val="24"/>
        </w:rPr>
        <w:t>To achieve this, l</w:t>
      </w:r>
      <w:r w:rsidR="00B769F0" w:rsidRPr="006340BE">
        <w:rPr>
          <w:rFonts w:ascii="Times New Roman" w:hAnsi="Times New Roman" w:cs="Times New Roman"/>
          <w:bCs/>
          <w:color w:val="000000" w:themeColor="text1"/>
          <w:sz w:val="24"/>
          <w:szCs w:val="24"/>
        </w:rPr>
        <w:t>eaders of R&amp;I institutions, funders and policy makers need to agree on principles, recommendations and good practices for incentivising and</w:t>
      </w:r>
      <w:r w:rsidR="00B769F0" w:rsidRPr="006340BE">
        <w:rPr>
          <w:rFonts w:ascii="Times New Roman" w:hAnsi="Times New Roman" w:cs="Times New Roman"/>
          <w:bCs/>
          <w:color w:val="000000" w:themeColor="text1"/>
          <w:sz w:val="24"/>
          <w:szCs w:val="24"/>
          <w:u w:val="single"/>
        </w:rPr>
        <w:t xml:space="preserve"> </w:t>
      </w:r>
      <w:r w:rsidR="00B769F0" w:rsidRPr="006340BE">
        <w:rPr>
          <w:rFonts w:ascii="Times New Roman" w:hAnsi="Times New Roman" w:cs="Times New Roman"/>
          <w:bCs/>
          <w:color w:val="000000" w:themeColor="text1"/>
          <w:sz w:val="24"/>
          <w:szCs w:val="24"/>
        </w:rPr>
        <w:t>rewarding citizen participation to promote trust and facilitate the uptake of science, technology and innovation.</w:t>
      </w:r>
    </w:p>
    <w:p w14:paraId="07934023" w14:textId="4F7450B5" w:rsidR="008F4DD2" w:rsidRPr="006340BE" w:rsidRDefault="008F4DD2">
      <w:pPr>
        <w:autoSpaceDE w:val="0"/>
        <w:autoSpaceDN w:val="0"/>
        <w:adjustRightInd w:val="0"/>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The ERA will e</w:t>
      </w:r>
      <w:r w:rsidR="00953F0E" w:rsidRPr="006340BE">
        <w:rPr>
          <w:rFonts w:ascii="Times New Roman" w:hAnsi="Times New Roman" w:cs="Times New Roman"/>
          <w:bCs/>
          <w:color w:val="000000" w:themeColor="text1"/>
          <w:sz w:val="24"/>
          <w:szCs w:val="24"/>
        </w:rPr>
        <w:t>nhanc</w:t>
      </w:r>
      <w:r w:rsidRPr="006340BE">
        <w:rPr>
          <w:rFonts w:ascii="Times New Roman" w:hAnsi="Times New Roman" w:cs="Times New Roman"/>
          <w:bCs/>
          <w:color w:val="000000" w:themeColor="text1"/>
          <w:sz w:val="24"/>
          <w:szCs w:val="24"/>
        </w:rPr>
        <w:t>e</w:t>
      </w:r>
      <w:r w:rsidR="00953F0E" w:rsidRPr="006340BE">
        <w:rPr>
          <w:rFonts w:ascii="Times New Roman" w:hAnsi="Times New Roman" w:cs="Times New Roman"/>
          <w:bCs/>
          <w:color w:val="000000" w:themeColor="text1"/>
          <w:sz w:val="24"/>
          <w:szCs w:val="24"/>
        </w:rPr>
        <w:t xml:space="preserve"> the communication </w:t>
      </w:r>
      <w:r w:rsidRPr="006340BE">
        <w:rPr>
          <w:rFonts w:ascii="Times New Roman" w:hAnsi="Times New Roman" w:cs="Times New Roman"/>
          <w:bCs/>
          <w:color w:val="000000" w:themeColor="text1"/>
          <w:sz w:val="24"/>
          <w:szCs w:val="24"/>
        </w:rPr>
        <w:t>to the wider public</w:t>
      </w:r>
      <w:r w:rsidR="00B77E8D" w:rsidRPr="006340BE">
        <w:rPr>
          <w:rFonts w:ascii="Times New Roman" w:hAnsi="Times New Roman" w:cs="Times New Roman"/>
          <w:bCs/>
          <w:color w:val="000000" w:themeColor="text1"/>
          <w:sz w:val="24"/>
          <w:szCs w:val="24"/>
        </w:rPr>
        <w:t>, and young generations in particular,</w:t>
      </w:r>
      <w:r w:rsidRPr="006340BE">
        <w:rPr>
          <w:rFonts w:ascii="Times New Roman" w:hAnsi="Times New Roman" w:cs="Times New Roman"/>
          <w:bCs/>
          <w:color w:val="000000" w:themeColor="text1"/>
          <w:sz w:val="24"/>
          <w:szCs w:val="24"/>
        </w:rPr>
        <w:t xml:space="preserve"> </w:t>
      </w:r>
      <w:r w:rsidR="00953F0E" w:rsidRPr="006340BE">
        <w:rPr>
          <w:rFonts w:ascii="Times New Roman" w:hAnsi="Times New Roman" w:cs="Times New Roman"/>
          <w:bCs/>
          <w:color w:val="000000" w:themeColor="text1"/>
          <w:sz w:val="24"/>
          <w:szCs w:val="24"/>
        </w:rPr>
        <w:t>on science</w:t>
      </w:r>
      <w:r w:rsidRPr="006340BE">
        <w:rPr>
          <w:rFonts w:ascii="Times New Roman" w:hAnsi="Times New Roman" w:cs="Times New Roman"/>
          <w:bCs/>
          <w:color w:val="000000" w:themeColor="text1"/>
          <w:sz w:val="24"/>
          <w:szCs w:val="24"/>
        </w:rPr>
        <w:t xml:space="preserve"> addressing</w:t>
      </w:r>
      <w:r w:rsidR="0033233F">
        <w:rPr>
          <w:rFonts w:ascii="Times New Roman" w:hAnsi="Times New Roman" w:cs="Times New Roman"/>
          <w:bCs/>
          <w:color w:val="000000" w:themeColor="text1"/>
          <w:sz w:val="24"/>
          <w:szCs w:val="24"/>
        </w:rPr>
        <w:t xml:space="preserve"> the</w:t>
      </w:r>
      <w:r w:rsidR="00953F0E" w:rsidRPr="006340BE">
        <w:rPr>
          <w:rFonts w:ascii="Times New Roman" w:hAnsi="Times New Roman" w:cs="Times New Roman"/>
          <w:bCs/>
          <w:color w:val="000000" w:themeColor="text1"/>
          <w:sz w:val="24"/>
          <w:szCs w:val="24"/>
        </w:rPr>
        <w:t xml:space="preserve"> </w:t>
      </w:r>
      <w:r w:rsidR="0033233F">
        <w:rPr>
          <w:rFonts w:ascii="Times New Roman" w:hAnsi="Times New Roman" w:cs="Times New Roman"/>
          <w:bCs/>
          <w:color w:val="000000" w:themeColor="text1"/>
          <w:sz w:val="24"/>
          <w:szCs w:val="24"/>
        </w:rPr>
        <w:t>twin transition</w:t>
      </w:r>
      <w:r w:rsidRPr="006340BE">
        <w:rPr>
          <w:rFonts w:ascii="Times New Roman" w:hAnsi="Times New Roman" w:cs="Times New Roman"/>
          <w:bCs/>
          <w:color w:val="000000" w:themeColor="text1"/>
          <w:sz w:val="24"/>
          <w:szCs w:val="24"/>
        </w:rPr>
        <w:t xml:space="preserve"> and promote participatory actions </w:t>
      </w:r>
      <w:r w:rsidR="0033233F">
        <w:rPr>
          <w:rFonts w:ascii="Times New Roman" w:hAnsi="Times New Roman" w:cs="Times New Roman"/>
          <w:bCs/>
          <w:color w:val="000000" w:themeColor="text1"/>
          <w:sz w:val="24"/>
          <w:szCs w:val="24"/>
        </w:rPr>
        <w:t>concerning the</w:t>
      </w:r>
      <w:r w:rsidRPr="006340BE">
        <w:rPr>
          <w:rFonts w:ascii="Times New Roman" w:hAnsi="Times New Roman" w:cs="Times New Roman"/>
          <w:bCs/>
          <w:color w:val="000000" w:themeColor="text1"/>
          <w:sz w:val="24"/>
          <w:szCs w:val="24"/>
        </w:rPr>
        <w:t xml:space="preserve"> transformation of our economy and society.</w:t>
      </w:r>
      <w:r w:rsidR="00953F0E" w:rsidRPr="006340BE">
        <w:rPr>
          <w:rFonts w:ascii="Times New Roman" w:hAnsi="Times New Roman" w:cs="Times New Roman"/>
          <w:bCs/>
          <w:color w:val="000000" w:themeColor="text1"/>
          <w:sz w:val="24"/>
          <w:szCs w:val="24"/>
        </w:rPr>
        <w:t xml:space="preserve"> </w:t>
      </w:r>
      <w:r w:rsidR="00D50DCA" w:rsidRPr="006340BE">
        <w:rPr>
          <w:rFonts w:ascii="Times New Roman" w:hAnsi="Times New Roman" w:cs="Times New Roman"/>
          <w:bCs/>
          <w:color w:val="000000" w:themeColor="text1"/>
          <w:sz w:val="24"/>
          <w:szCs w:val="24"/>
        </w:rPr>
        <w:t>It is also important to include representative organisations of groups at higher risk of exclusion such as persons with disabilities and older persons in order to address critical issues related to their exclusion in the research.</w:t>
      </w:r>
    </w:p>
    <w:p w14:paraId="3710357D" w14:textId="1ECAD624" w:rsidR="00953F0E" w:rsidRPr="006340BE" w:rsidRDefault="00981273">
      <w:pPr>
        <w:autoSpaceDE w:val="0"/>
        <w:autoSpaceDN w:val="0"/>
        <w:adjustRightInd w:val="0"/>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U</w:t>
      </w:r>
      <w:r w:rsidR="00953F0E" w:rsidRPr="006340BE">
        <w:rPr>
          <w:rFonts w:ascii="Times New Roman" w:hAnsi="Times New Roman" w:cs="Times New Roman"/>
          <w:bCs/>
          <w:color w:val="000000" w:themeColor="text1"/>
          <w:sz w:val="24"/>
          <w:szCs w:val="24"/>
        </w:rPr>
        <w:t xml:space="preserve">nderpinning simplification and coherence, there is scope for integrating the “Capitals of Innovation” award and other </w:t>
      </w:r>
      <w:r w:rsidR="00C84837" w:rsidRPr="006340BE">
        <w:rPr>
          <w:rFonts w:ascii="Times New Roman" w:hAnsi="Times New Roman" w:cs="Times New Roman"/>
          <w:bCs/>
          <w:color w:val="000000" w:themeColor="text1"/>
          <w:sz w:val="24"/>
          <w:szCs w:val="24"/>
        </w:rPr>
        <w:t xml:space="preserve">relevant </w:t>
      </w:r>
      <w:r w:rsidR="00953F0E" w:rsidRPr="006340BE">
        <w:rPr>
          <w:rFonts w:ascii="Times New Roman" w:hAnsi="Times New Roman" w:cs="Times New Roman"/>
          <w:bCs/>
          <w:color w:val="000000" w:themeColor="text1"/>
          <w:sz w:val="24"/>
          <w:szCs w:val="24"/>
        </w:rPr>
        <w:t>EU activities</w:t>
      </w:r>
      <w:r w:rsidR="00C84837" w:rsidRPr="006340BE">
        <w:rPr>
          <w:rFonts w:ascii="Times New Roman" w:hAnsi="Times New Roman" w:cs="Times New Roman"/>
          <w:bCs/>
          <w:color w:val="000000" w:themeColor="text1"/>
          <w:sz w:val="24"/>
          <w:szCs w:val="24"/>
        </w:rPr>
        <w:t>, such as the European Contest of Young Scientists (EUCYS)</w:t>
      </w:r>
      <w:r w:rsidR="00953F0E" w:rsidRPr="006340BE">
        <w:rPr>
          <w:rFonts w:ascii="Times New Roman" w:hAnsi="Times New Roman" w:cs="Times New Roman"/>
          <w:bCs/>
          <w:color w:val="000000" w:themeColor="text1"/>
          <w:sz w:val="24"/>
          <w:szCs w:val="24"/>
        </w:rPr>
        <w:t xml:space="preserve"> </w:t>
      </w:r>
      <w:r w:rsidR="00C84837" w:rsidRPr="006340BE">
        <w:rPr>
          <w:rFonts w:ascii="Times New Roman" w:hAnsi="Times New Roman" w:cs="Times New Roman"/>
          <w:bCs/>
          <w:color w:val="000000" w:themeColor="text1"/>
          <w:sz w:val="24"/>
          <w:szCs w:val="24"/>
        </w:rPr>
        <w:t xml:space="preserve">or the Science in the City Festival </w:t>
      </w:r>
      <w:r w:rsidR="00953F0E" w:rsidRPr="006340BE">
        <w:rPr>
          <w:rFonts w:ascii="Times New Roman" w:hAnsi="Times New Roman" w:cs="Times New Roman"/>
          <w:bCs/>
          <w:color w:val="000000" w:themeColor="text1"/>
          <w:sz w:val="24"/>
          <w:szCs w:val="24"/>
        </w:rPr>
        <w:t xml:space="preserve">into a broader </w:t>
      </w:r>
      <w:r w:rsidR="00C84837" w:rsidRPr="006340BE">
        <w:rPr>
          <w:rFonts w:ascii="Times New Roman" w:hAnsi="Times New Roman" w:cs="Times New Roman"/>
          <w:bCs/>
          <w:color w:val="000000" w:themeColor="text1"/>
          <w:sz w:val="24"/>
          <w:szCs w:val="24"/>
        </w:rPr>
        <w:t xml:space="preserve">policy </w:t>
      </w:r>
      <w:r w:rsidR="009B549C" w:rsidRPr="006340BE">
        <w:rPr>
          <w:rFonts w:ascii="Times New Roman" w:hAnsi="Times New Roman" w:cs="Times New Roman"/>
          <w:bCs/>
          <w:color w:val="000000" w:themeColor="text1"/>
          <w:sz w:val="24"/>
          <w:szCs w:val="24"/>
        </w:rPr>
        <w:t>initiative, which</w:t>
      </w:r>
      <w:r w:rsidR="00953F0E" w:rsidRPr="006340BE">
        <w:rPr>
          <w:rFonts w:ascii="Times New Roman" w:hAnsi="Times New Roman" w:cs="Times New Roman"/>
          <w:bCs/>
          <w:color w:val="000000" w:themeColor="text1"/>
          <w:sz w:val="24"/>
          <w:szCs w:val="24"/>
        </w:rPr>
        <w:t xml:space="preserve"> would open up science </w:t>
      </w:r>
      <w:r w:rsidR="008510F5" w:rsidRPr="006340BE">
        <w:rPr>
          <w:rFonts w:ascii="Times New Roman" w:hAnsi="Times New Roman" w:cs="Times New Roman"/>
          <w:bCs/>
          <w:color w:val="000000" w:themeColor="text1"/>
          <w:sz w:val="24"/>
          <w:szCs w:val="24"/>
        </w:rPr>
        <w:t xml:space="preserve">and innovation </w:t>
      </w:r>
      <w:r w:rsidR="00953F0E" w:rsidRPr="006340BE">
        <w:rPr>
          <w:rFonts w:ascii="Times New Roman" w:hAnsi="Times New Roman" w:cs="Times New Roman"/>
          <w:bCs/>
          <w:color w:val="000000" w:themeColor="text1"/>
          <w:sz w:val="24"/>
          <w:szCs w:val="24"/>
        </w:rPr>
        <w:t>to Europeans in their own cities, regions and countries</w:t>
      </w:r>
      <w:r w:rsidRPr="006340BE">
        <w:rPr>
          <w:rFonts w:ascii="Times New Roman" w:hAnsi="Times New Roman" w:cs="Times New Roman"/>
          <w:bCs/>
          <w:color w:val="000000" w:themeColor="text1"/>
          <w:sz w:val="24"/>
          <w:szCs w:val="24"/>
        </w:rPr>
        <w:t>.</w:t>
      </w:r>
      <w:r w:rsidR="00601CD2" w:rsidRPr="006340BE">
        <w:rPr>
          <w:rFonts w:ascii="Times New Roman" w:hAnsi="Times New Roman" w:cs="Times New Roman"/>
          <w:bCs/>
          <w:color w:val="000000" w:themeColor="text1"/>
          <w:sz w:val="24"/>
          <w:szCs w:val="24"/>
        </w:rPr>
        <w:t xml:space="preserve"> </w:t>
      </w:r>
    </w:p>
    <w:p w14:paraId="6685E52A" w14:textId="56E260E5" w:rsidR="0096489F" w:rsidRPr="006340BE" w:rsidRDefault="0096489F">
      <w:pPr>
        <w:autoSpaceDE w:val="0"/>
        <w:autoSpaceDN w:val="0"/>
        <w:adjustRightInd w:val="0"/>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Citizens’ engagement will build on already existing initiatives and events, such as the European Researchers’ Night, which has become the largest</w:t>
      </w:r>
      <w:r w:rsidRPr="006340BE">
        <w:rPr>
          <w:rFonts w:ascii="Times New Roman" w:eastAsia="Times New Roman" w:hAnsi="Times New Roman" w:cs="Times New Roman"/>
          <w:b/>
          <w:color w:val="000000" w:themeColor="text1"/>
          <w:sz w:val="24"/>
          <w:szCs w:val="24"/>
          <w:lang w:eastAsia="en-GB"/>
        </w:rPr>
        <w:t xml:space="preserve"> </w:t>
      </w:r>
      <w:r w:rsidRPr="006340BE">
        <w:rPr>
          <w:rFonts w:ascii="Times New Roman" w:eastAsia="Times New Roman" w:hAnsi="Times New Roman" w:cs="Times New Roman"/>
          <w:color w:val="000000" w:themeColor="text1"/>
          <w:sz w:val="24"/>
          <w:szCs w:val="24"/>
          <w:lang w:eastAsia="en-GB"/>
        </w:rPr>
        <w:t>research communication and promotion event in Europe, and could be a</w:t>
      </w:r>
      <w:r w:rsidR="001B1E70" w:rsidRPr="006340BE">
        <w:rPr>
          <w:rFonts w:ascii="Times New Roman" w:eastAsia="Times New Roman" w:hAnsi="Times New Roman" w:cs="Times New Roman"/>
          <w:color w:val="000000" w:themeColor="text1"/>
          <w:sz w:val="24"/>
          <w:szCs w:val="24"/>
          <w:lang w:eastAsia="en-GB"/>
        </w:rPr>
        <w:t>n appropriate</w:t>
      </w:r>
      <w:r w:rsidRPr="006340BE">
        <w:rPr>
          <w:rFonts w:ascii="Times New Roman" w:eastAsia="Times New Roman" w:hAnsi="Times New Roman" w:cs="Times New Roman"/>
          <w:color w:val="000000" w:themeColor="text1"/>
          <w:sz w:val="24"/>
          <w:szCs w:val="24"/>
          <w:lang w:eastAsia="en-GB"/>
        </w:rPr>
        <w:t xml:space="preserve"> platform to engage actively with citizens.</w:t>
      </w:r>
    </w:p>
    <w:p w14:paraId="03E0CDC9" w14:textId="1824CD3D" w:rsidR="00953F0E" w:rsidRPr="006340BE" w:rsidRDefault="00953F0E" w:rsidP="00F74968">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 xml:space="preserve">The EU </w:t>
      </w:r>
      <w:r w:rsidR="00DE65FF" w:rsidRPr="006340BE">
        <w:rPr>
          <w:rFonts w:ascii="Times New Roman" w:hAnsi="Times New Roman" w:cs="Times New Roman"/>
          <w:bCs/>
          <w:color w:val="000000" w:themeColor="text1"/>
          <w:sz w:val="24"/>
          <w:szCs w:val="24"/>
        </w:rPr>
        <w:t>can make use</w:t>
      </w:r>
      <w:r w:rsidRPr="006340BE">
        <w:rPr>
          <w:rFonts w:ascii="Times New Roman" w:hAnsi="Times New Roman" w:cs="Times New Roman"/>
          <w:bCs/>
          <w:color w:val="000000" w:themeColor="text1"/>
          <w:sz w:val="24"/>
          <w:szCs w:val="24"/>
        </w:rPr>
        <w:t xml:space="preserve"> of Horizon Europe Missions </w:t>
      </w:r>
      <w:r w:rsidR="00DE65FF" w:rsidRPr="006340BE">
        <w:rPr>
          <w:rFonts w:ascii="Times New Roman" w:hAnsi="Times New Roman" w:cs="Times New Roman"/>
          <w:bCs/>
          <w:color w:val="000000" w:themeColor="text1"/>
          <w:sz w:val="24"/>
          <w:szCs w:val="24"/>
        </w:rPr>
        <w:t>to</w:t>
      </w:r>
      <w:r w:rsidRPr="006340BE">
        <w:rPr>
          <w:rFonts w:ascii="Times New Roman" w:hAnsi="Times New Roman" w:cs="Times New Roman"/>
          <w:bCs/>
          <w:color w:val="000000" w:themeColor="text1"/>
          <w:sz w:val="24"/>
          <w:szCs w:val="24"/>
        </w:rPr>
        <w:t xml:space="preserve"> </w:t>
      </w:r>
      <w:r w:rsidR="00DE65FF" w:rsidRPr="006340BE">
        <w:rPr>
          <w:rFonts w:ascii="Times New Roman" w:hAnsi="Times New Roman" w:cs="Times New Roman"/>
          <w:bCs/>
          <w:color w:val="000000" w:themeColor="text1"/>
          <w:sz w:val="24"/>
          <w:szCs w:val="24"/>
        </w:rPr>
        <w:t>pursue citizen’s involvement</w:t>
      </w:r>
      <w:r w:rsidRPr="006340BE">
        <w:rPr>
          <w:rFonts w:ascii="Times New Roman" w:hAnsi="Times New Roman" w:cs="Times New Roman"/>
          <w:bCs/>
          <w:color w:val="000000" w:themeColor="text1"/>
          <w:sz w:val="24"/>
          <w:szCs w:val="24"/>
        </w:rPr>
        <w:t xml:space="preserve">. Networks such as the European Youth Portal, </w:t>
      </w:r>
      <w:r w:rsidR="004C6402" w:rsidRPr="006340BE">
        <w:rPr>
          <w:rFonts w:ascii="Times New Roman" w:hAnsi="Times New Roman" w:cs="Times New Roman"/>
          <w:bCs/>
          <w:color w:val="000000" w:themeColor="text1"/>
          <w:sz w:val="24"/>
          <w:szCs w:val="24"/>
        </w:rPr>
        <w:t xml:space="preserve">the </w:t>
      </w:r>
      <w:proofErr w:type="spellStart"/>
      <w:r w:rsidRPr="006340BE">
        <w:rPr>
          <w:rFonts w:ascii="Times New Roman" w:hAnsi="Times New Roman" w:cs="Times New Roman"/>
          <w:bCs/>
          <w:color w:val="000000" w:themeColor="text1"/>
          <w:sz w:val="24"/>
          <w:szCs w:val="24"/>
        </w:rPr>
        <w:t>Eurodesk</w:t>
      </w:r>
      <w:proofErr w:type="spellEnd"/>
      <w:r w:rsidRPr="006340BE">
        <w:rPr>
          <w:rFonts w:ascii="Times New Roman" w:hAnsi="Times New Roman" w:cs="Times New Roman"/>
          <w:bCs/>
          <w:color w:val="000000" w:themeColor="text1"/>
          <w:sz w:val="24"/>
          <w:szCs w:val="24"/>
        </w:rPr>
        <w:t xml:space="preserve"> Network, </w:t>
      </w:r>
      <w:r w:rsidR="004C6402" w:rsidRPr="006340BE">
        <w:rPr>
          <w:rFonts w:ascii="Times New Roman" w:hAnsi="Times New Roman" w:cs="Times New Roman"/>
          <w:bCs/>
          <w:color w:val="000000" w:themeColor="text1"/>
          <w:sz w:val="24"/>
          <w:szCs w:val="24"/>
        </w:rPr>
        <w:t xml:space="preserve">the </w:t>
      </w:r>
      <w:r w:rsidRPr="006340BE">
        <w:rPr>
          <w:rFonts w:ascii="Times New Roman" w:hAnsi="Times New Roman" w:cs="Times New Roman"/>
          <w:bCs/>
          <w:color w:val="000000" w:themeColor="text1"/>
          <w:sz w:val="24"/>
          <w:szCs w:val="24"/>
        </w:rPr>
        <w:t xml:space="preserve">European Youth Forum, student and alumni associations, </w:t>
      </w:r>
      <w:r w:rsidR="00687672" w:rsidRPr="006340BE">
        <w:rPr>
          <w:rFonts w:ascii="Times New Roman" w:hAnsi="Times New Roman" w:cs="Times New Roman"/>
          <w:bCs/>
          <w:color w:val="000000" w:themeColor="text1"/>
          <w:sz w:val="24"/>
          <w:szCs w:val="24"/>
        </w:rPr>
        <w:t xml:space="preserve">the Safer Internet Centres and the EU BIK portal, </w:t>
      </w:r>
      <w:proofErr w:type="spellStart"/>
      <w:r w:rsidRPr="006340BE">
        <w:rPr>
          <w:rFonts w:ascii="Times New Roman" w:hAnsi="Times New Roman" w:cs="Times New Roman"/>
          <w:bCs/>
          <w:color w:val="000000" w:themeColor="text1"/>
          <w:sz w:val="24"/>
          <w:szCs w:val="24"/>
        </w:rPr>
        <w:t>eTwinning</w:t>
      </w:r>
      <w:proofErr w:type="spellEnd"/>
      <w:r w:rsidRPr="006340BE">
        <w:rPr>
          <w:rFonts w:ascii="Times New Roman" w:hAnsi="Times New Roman" w:cs="Times New Roman"/>
          <w:bCs/>
          <w:color w:val="000000" w:themeColor="text1"/>
          <w:sz w:val="24"/>
          <w:szCs w:val="24"/>
        </w:rPr>
        <w:t xml:space="preserve">, the School Education Gateway, and EPALE (Adult learning) platforms, are effective multipliers to engage with society. </w:t>
      </w:r>
    </w:p>
    <w:p w14:paraId="62435589" w14:textId="77777777" w:rsidR="00A462DA" w:rsidRPr="006340BE" w:rsidRDefault="00A462DA" w:rsidP="008F1A23">
      <w:pPr>
        <w:keepNext/>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lastRenderedPageBreak/>
        <w:t>The Commission will:</w:t>
      </w:r>
      <w:r w:rsidR="00337E83" w:rsidRPr="006340BE">
        <w:rPr>
          <w:rFonts w:ascii="Times New Roman" w:hAnsi="Times New Roman" w:cs="Times New Roman"/>
          <w:color w:val="000000" w:themeColor="text1"/>
          <w:sz w:val="24"/>
          <w:szCs w:val="24"/>
        </w:rPr>
        <w:t xml:space="preserve"> </w:t>
      </w:r>
    </w:p>
    <w:p w14:paraId="330403F0" w14:textId="5FC96353" w:rsidR="00682ACB" w:rsidRPr="007A78F6" w:rsidRDefault="00AE69A5" w:rsidP="009E3399">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color w:val="000000" w:themeColor="text1"/>
          <w:highlight w:val="yellow"/>
        </w:rPr>
      </w:pPr>
      <w:r w:rsidRPr="007A78F6">
        <w:rPr>
          <w:rFonts w:ascii="Times New Roman" w:hAnsi="Times New Roman" w:cs="Times New Roman"/>
          <w:color w:val="000000" w:themeColor="text1"/>
          <w:sz w:val="24"/>
          <w:szCs w:val="24"/>
          <w:highlight w:val="yellow"/>
        </w:rPr>
        <w:t>O</w:t>
      </w:r>
      <w:r w:rsidR="00533679" w:rsidRPr="007A78F6">
        <w:rPr>
          <w:rFonts w:ascii="Times New Roman" w:hAnsi="Times New Roman" w:cs="Times New Roman"/>
          <w:color w:val="000000" w:themeColor="text1"/>
          <w:sz w:val="24"/>
          <w:szCs w:val="24"/>
          <w:highlight w:val="yellow"/>
        </w:rPr>
        <w:t xml:space="preserve">rganise with Member States and stakeholders </w:t>
      </w:r>
      <w:r w:rsidR="00C51AC1" w:rsidRPr="007A78F6">
        <w:rPr>
          <w:rFonts w:ascii="Times New Roman" w:hAnsi="Times New Roman" w:cs="Times New Roman"/>
          <w:color w:val="000000" w:themeColor="text1"/>
          <w:sz w:val="24"/>
          <w:szCs w:val="24"/>
          <w:highlight w:val="yellow"/>
        </w:rPr>
        <w:t xml:space="preserve">Europe-wide participatory citizen science campaigns to raise awareness and networking, crowdsourcing platforms and pan-European </w:t>
      </w:r>
      <w:proofErr w:type="spellStart"/>
      <w:r w:rsidR="00C51AC1" w:rsidRPr="007A78F6">
        <w:rPr>
          <w:rFonts w:ascii="Times New Roman" w:hAnsi="Times New Roman" w:cs="Times New Roman"/>
          <w:color w:val="000000" w:themeColor="text1"/>
          <w:sz w:val="24"/>
          <w:szCs w:val="24"/>
          <w:highlight w:val="yellow"/>
        </w:rPr>
        <w:t>hackathons</w:t>
      </w:r>
      <w:proofErr w:type="spellEnd"/>
      <w:r w:rsidR="00C51AC1" w:rsidRPr="007A78F6">
        <w:rPr>
          <w:rFonts w:ascii="Times New Roman" w:hAnsi="Times New Roman" w:cs="Times New Roman"/>
          <w:color w:val="000000" w:themeColor="text1"/>
          <w:sz w:val="24"/>
          <w:szCs w:val="24"/>
          <w:highlight w:val="yellow"/>
        </w:rPr>
        <w:t>, in particular in the context of Horizon Europe Missions</w:t>
      </w:r>
      <w:r w:rsidR="0090625B" w:rsidRPr="007A78F6">
        <w:rPr>
          <w:rFonts w:ascii="Times New Roman" w:hAnsi="Times New Roman" w:cs="Times New Roman"/>
          <w:color w:val="000000" w:themeColor="text1"/>
          <w:sz w:val="24"/>
          <w:szCs w:val="24"/>
          <w:highlight w:val="yellow"/>
        </w:rPr>
        <w:t>. The Commission will develop with Member States best practices to open up science and innovation to citizens and y</w:t>
      </w:r>
      <w:r w:rsidR="00D42041" w:rsidRPr="007A78F6">
        <w:rPr>
          <w:rFonts w:ascii="Times New Roman" w:hAnsi="Times New Roman" w:cs="Times New Roman"/>
          <w:color w:val="000000" w:themeColor="text1"/>
          <w:sz w:val="24"/>
          <w:szCs w:val="24"/>
          <w:highlight w:val="yellow"/>
        </w:rPr>
        <w:t>out</w:t>
      </w:r>
      <w:r w:rsidR="0090625B" w:rsidRPr="007A78F6">
        <w:rPr>
          <w:rFonts w:ascii="Times New Roman" w:hAnsi="Times New Roman" w:cs="Times New Roman"/>
          <w:color w:val="000000" w:themeColor="text1"/>
          <w:sz w:val="24"/>
          <w:szCs w:val="24"/>
          <w:highlight w:val="yellow"/>
        </w:rPr>
        <w:t xml:space="preserve">h. </w:t>
      </w:r>
    </w:p>
    <w:p w14:paraId="3E0D7B0F" w14:textId="7382CDCE" w:rsidR="0096489F" w:rsidRPr="006340BE" w:rsidRDefault="0096489F" w:rsidP="000E2C91">
      <w:pPr>
        <w:pStyle w:val="Style1"/>
        <w:spacing w:before="240"/>
        <w:ind w:left="357" w:hanging="357"/>
        <w:rPr>
          <w:color w:val="000000" w:themeColor="text1"/>
        </w:rPr>
      </w:pPr>
      <w:bookmarkStart w:id="11" w:name="_Toc51534324"/>
      <w:r w:rsidRPr="006340BE">
        <w:rPr>
          <w:color w:val="000000" w:themeColor="text1"/>
        </w:rPr>
        <w:t>Governance of the new ERA</w:t>
      </w:r>
      <w:bookmarkEnd w:id="11"/>
    </w:p>
    <w:p w14:paraId="3C17E840" w14:textId="7D0B8580" w:rsidR="004E1116" w:rsidRPr="006340BE" w:rsidRDefault="004E1116" w:rsidP="00F74968">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T</w:t>
      </w:r>
      <w:r w:rsidR="00A462DA" w:rsidRPr="006340BE">
        <w:rPr>
          <w:rFonts w:ascii="Times New Roman" w:hAnsi="Times New Roman" w:cs="Times New Roman"/>
          <w:bCs/>
          <w:color w:val="000000" w:themeColor="text1"/>
          <w:sz w:val="24"/>
          <w:szCs w:val="24"/>
        </w:rPr>
        <w:t>he new ERA requires action at national and EU level</w:t>
      </w:r>
      <w:r w:rsidRPr="006340BE">
        <w:rPr>
          <w:rFonts w:ascii="Times New Roman" w:hAnsi="Times New Roman" w:cs="Times New Roman"/>
          <w:bCs/>
          <w:color w:val="000000" w:themeColor="text1"/>
          <w:sz w:val="24"/>
          <w:szCs w:val="24"/>
        </w:rPr>
        <w:t xml:space="preserve">s, </w:t>
      </w:r>
      <w:r w:rsidR="00ED1D5B" w:rsidRPr="006340BE">
        <w:rPr>
          <w:rFonts w:ascii="Times New Roman" w:hAnsi="Times New Roman" w:cs="Times New Roman"/>
          <w:bCs/>
          <w:color w:val="000000" w:themeColor="text1"/>
          <w:sz w:val="24"/>
          <w:szCs w:val="24"/>
        </w:rPr>
        <w:t>supported by a</w:t>
      </w:r>
      <w:r w:rsidR="00A462DA" w:rsidRPr="006340BE">
        <w:rPr>
          <w:rFonts w:ascii="Times New Roman" w:hAnsi="Times New Roman" w:cs="Times New Roman"/>
          <w:bCs/>
          <w:color w:val="000000" w:themeColor="text1"/>
          <w:sz w:val="24"/>
          <w:szCs w:val="24"/>
        </w:rPr>
        <w:t xml:space="preserve"> process to set and update </w:t>
      </w:r>
      <w:r w:rsidRPr="006340BE">
        <w:rPr>
          <w:rFonts w:ascii="Times New Roman" w:hAnsi="Times New Roman" w:cs="Times New Roman"/>
          <w:bCs/>
          <w:color w:val="000000" w:themeColor="text1"/>
          <w:sz w:val="24"/>
          <w:szCs w:val="24"/>
        </w:rPr>
        <w:t xml:space="preserve">the </w:t>
      </w:r>
      <w:r w:rsidR="00A462DA" w:rsidRPr="006340BE">
        <w:rPr>
          <w:rFonts w:ascii="Times New Roman" w:hAnsi="Times New Roman" w:cs="Times New Roman"/>
          <w:bCs/>
          <w:color w:val="000000" w:themeColor="text1"/>
          <w:sz w:val="24"/>
          <w:szCs w:val="24"/>
        </w:rPr>
        <w:t>policy</w:t>
      </w:r>
      <w:r w:rsidRPr="006340BE">
        <w:rPr>
          <w:rFonts w:ascii="Times New Roman" w:hAnsi="Times New Roman" w:cs="Times New Roman"/>
          <w:bCs/>
          <w:color w:val="000000" w:themeColor="text1"/>
          <w:sz w:val="24"/>
          <w:szCs w:val="24"/>
        </w:rPr>
        <w:t xml:space="preserve"> priorities</w:t>
      </w:r>
      <w:r w:rsidR="00A462DA" w:rsidRPr="006340BE">
        <w:rPr>
          <w:rFonts w:ascii="Times New Roman" w:hAnsi="Times New Roman" w:cs="Times New Roman"/>
          <w:bCs/>
          <w:color w:val="000000" w:themeColor="text1"/>
          <w:sz w:val="24"/>
          <w:szCs w:val="24"/>
        </w:rPr>
        <w:t>, monitor and assess progress</w:t>
      </w:r>
      <w:r w:rsidRPr="006340BE">
        <w:rPr>
          <w:rFonts w:ascii="Times New Roman" w:hAnsi="Times New Roman" w:cs="Times New Roman"/>
          <w:bCs/>
          <w:color w:val="000000" w:themeColor="text1"/>
          <w:sz w:val="24"/>
          <w:szCs w:val="24"/>
        </w:rPr>
        <w:t xml:space="preserve"> and </w:t>
      </w:r>
      <w:r w:rsidR="00A462DA" w:rsidRPr="006340BE">
        <w:rPr>
          <w:rFonts w:ascii="Times New Roman" w:hAnsi="Times New Roman" w:cs="Times New Roman"/>
          <w:bCs/>
          <w:color w:val="000000" w:themeColor="text1"/>
          <w:sz w:val="24"/>
          <w:szCs w:val="24"/>
        </w:rPr>
        <w:t>ensure strategic advice</w:t>
      </w:r>
      <w:r w:rsidR="00737B81" w:rsidRPr="006340BE">
        <w:rPr>
          <w:rFonts w:ascii="Times New Roman" w:hAnsi="Times New Roman" w:cs="Times New Roman"/>
          <w:bCs/>
          <w:color w:val="000000" w:themeColor="text1"/>
          <w:sz w:val="24"/>
          <w:szCs w:val="24"/>
        </w:rPr>
        <w:t xml:space="preserve"> </w:t>
      </w:r>
      <w:r w:rsidR="00A462DA" w:rsidRPr="006340BE">
        <w:rPr>
          <w:rFonts w:ascii="Times New Roman" w:hAnsi="Times New Roman" w:cs="Times New Roman"/>
          <w:bCs/>
          <w:color w:val="000000" w:themeColor="text1"/>
          <w:sz w:val="24"/>
          <w:szCs w:val="24"/>
        </w:rPr>
        <w:t xml:space="preserve">towards common objectives. </w:t>
      </w:r>
    </w:p>
    <w:p w14:paraId="7C35C5D3" w14:textId="5FFD4A6F" w:rsidR="00A462DA" w:rsidRPr="006340BE" w:rsidRDefault="00A462DA" w:rsidP="00F74968">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 xml:space="preserve">Action at EU level will be guided by the </w:t>
      </w:r>
      <w:r w:rsidR="00ED1D5B" w:rsidRPr="006340BE">
        <w:rPr>
          <w:rFonts w:ascii="Times New Roman" w:hAnsi="Times New Roman" w:cs="Times New Roman"/>
          <w:bCs/>
          <w:color w:val="000000" w:themeColor="text1"/>
          <w:sz w:val="24"/>
          <w:szCs w:val="24"/>
        </w:rPr>
        <w:t xml:space="preserve">proposed </w:t>
      </w:r>
      <w:r w:rsidRPr="006340BE">
        <w:rPr>
          <w:rFonts w:ascii="Times New Roman" w:hAnsi="Times New Roman" w:cs="Times New Roman"/>
          <w:bCs/>
          <w:color w:val="000000" w:themeColor="text1"/>
          <w:sz w:val="24"/>
          <w:szCs w:val="24"/>
        </w:rPr>
        <w:t xml:space="preserve">list of actions according </w:t>
      </w:r>
      <w:r w:rsidR="00ED1D5B" w:rsidRPr="006340BE">
        <w:rPr>
          <w:rFonts w:ascii="Times New Roman" w:hAnsi="Times New Roman" w:cs="Times New Roman"/>
          <w:bCs/>
          <w:color w:val="000000" w:themeColor="text1"/>
          <w:sz w:val="24"/>
          <w:szCs w:val="24"/>
        </w:rPr>
        <w:t>to a timeline (</w:t>
      </w:r>
      <w:r w:rsidR="00B77E8D" w:rsidRPr="006340BE">
        <w:rPr>
          <w:rFonts w:ascii="Times New Roman" w:hAnsi="Times New Roman" w:cs="Times New Roman"/>
          <w:bCs/>
          <w:color w:val="000000" w:themeColor="text1"/>
          <w:sz w:val="24"/>
          <w:szCs w:val="24"/>
        </w:rPr>
        <w:t xml:space="preserve">the </w:t>
      </w:r>
      <w:r w:rsidRPr="006340BE">
        <w:rPr>
          <w:rFonts w:ascii="Times New Roman" w:hAnsi="Times New Roman" w:cs="Times New Roman"/>
          <w:bCs/>
          <w:color w:val="000000" w:themeColor="text1"/>
          <w:sz w:val="24"/>
          <w:szCs w:val="24"/>
        </w:rPr>
        <w:t xml:space="preserve">ERA Roadmap presented in </w:t>
      </w:r>
      <w:r w:rsidR="009E3399">
        <w:rPr>
          <w:rFonts w:ascii="Times New Roman" w:hAnsi="Times New Roman" w:cs="Times New Roman"/>
          <w:bCs/>
          <w:color w:val="000000" w:themeColor="text1"/>
          <w:sz w:val="24"/>
          <w:szCs w:val="24"/>
        </w:rPr>
        <w:t xml:space="preserve">the </w:t>
      </w:r>
      <w:r w:rsidR="00D94C4C">
        <w:rPr>
          <w:rFonts w:ascii="Times New Roman" w:hAnsi="Times New Roman" w:cs="Times New Roman"/>
          <w:bCs/>
          <w:color w:val="000000" w:themeColor="text1"/>
          <w:sz w:val="24"/>
          <w:szCs w:val="24"/>
        </w:rPr>
        <w:t>appendix</w:t>
      </w:r>
      <w:r w:rsidR="00074A43" w:rsidRPr="006340BE">
        <w:rPr>
          <w:rFonts w:ascii="Times New Roman" w:hAnsi="Times New Roman" w:cs="Times New Roman"/>
          <w:bCs/>
          <w:color w:val="000000" w:themeColor="text1"/>
          <w:sz w:val="24"/>
          <w:szCs w:val="24"/>
        </w:rPr>
        <w:t>)</w:t>
      </w:r>
      <w:r w:rsidR="00B95F81" w:rsidRPr="006340BE">
        <w:rPr>
          <w:rFonts w:ascii="Times New Roman" w:hAnsi="Times New Roman" w:cs="Times New Roman"/>
          <w:bCs/>
          <w:color w:val="000000" w:themeColor="text1"/>
          <w:sz w:val="24"/>
          <w:szCs w:val="24"/>
        </w:rPr>
        <w:t xml:space="preserve"> </w:t>
      </w:r>
      <w:r w:rsidR="00ED1D5B" w:rsidRPr="006340BE">
        <w:rPr>
          <w:rFonts w:ascii="Times New Roman" w:hAnsi="Times New Roman" w:cs="Times New Roman"/>
          <w:bCs/>
          <w:color w:val="000000" w:themeColor="text1"/>
          <w:sz w:val="24"/>
          <w:szCs w:val="24"/>
        </w:rPr>
        <w:t xml:space="preserve">that </w:t>
      </w:r>
      <w:r w:rsidRPr="006340BE">
        <w:rPr>
          <w:rFonts w:ascii="Times New Roman" w:hAnsi="Times New Roman" w:cs="Times New Roman"/>
          <w:bCs/>
          <w:color w:val="000000" w:themeColor="text1"/>
          <w:sz w:val="24"/>
          <w:szCs w:val="24"/>
        </w:rPr>
        <w:t>will be updated</w:t>
      </w:r>
      <w:r w:rsidR="00603995" w:rsidRPr="006340BE">
        <w:rPr>
          <w:rFonts w:ascii="Times New Roman" w:hAnsi="Times New Roman" w:cs="Times New Roman"/>
          <w:bCs/>
          <w:color w:val="000000" w:themeColor="text1"/>
          <w:sz w:val="24"/>
          <w:szCs w:val="24"/>
        </w:rPr>
        <w:t xml:space="preserve"> by the Commission</w:t>
      </w:r>
      <w:r w:rsidRPr="006340BE">
        <w:rPr>
          <w:rFonts w:ascii="Times New Roman" w:hAnsi="Times New Roman" w:cs="Times New Roman"/>
          <w:bCs/>
          <w:color w:val="000000" w:themeColor="text1"/>
          <w:sz w:val="24"/>
          <w:szCs w:val="24"/>
        </w:rPr>
        <w:t xml:space="preserve"> as implementation proceeds. Action at national level will be guided by a set of key values and principles</w:t>
      </w:r>
      <w:r w:rsidR="00074A43" w:rsidRPr="006340BE">
        <w:rPr>
          <w:rFonts w:ascii="Times New Roman" w:hAnsi="Times New Roman" w:cs="Times New Roman"/>
          <w:bCs/>
          <w:color w:val="000000" w:themeColor="text1"/>
          <w:sz w:val="24"/>
          <w:szCs w:val="24"/>
        </w:rPr>
        <w:t xml:space="preserve">, building on the experience of </w:t>
      </w:r>
      <w:r w:rsidRPr="006340BE">
        <w:rPr>
          <w:rFonts w:ascii="Times New Roman" w:hAnsi="Times New Roman" w:cs="Times New Roman"/>
          <w:bCs/>
          <w:color w:val="000000" w:themeColor="text1"/>
          <w:sz w:val="24"/>
          <w:szCs w:val="24"/>
        </w:rPr>
        <w:t xml:space="preserve">the past 20 years </w:t>
      </w:r>
      <w:r w:rsidR="00074A43" w:rsidRPr="006340BE">
        <w:rPr>
          <w:rFonts w:ascii="Times New Roman" w:hAnsi="Times New Roman" w:cs="Times New Roman"/>
          <w:bCs/>
          <w:color w:val="000000" w:themeColor="text1"/>
          <w:sz w:val="24"/>
          <w:szCs w:val="24"/>
        </w:rPr>
        <w:t xml:space="preserve">in </w:t>
      </w:r>
      <w:r w:rsidR="006D5ED3" w:rsidRPr="006340BE">
        <w:rPr>
          <w:rFonts w:ascii="Times New Roman" w:hAnsi="Times New Roman" w:cs="Times New Roman"/>
          <w:bCs/>
          <w:color w:val="000000" w:themeColor="text1"/>
          <w:sz w:val="24"/>
          <w:szCs w:val="24"/>
        </w:rPr>
        <w:t xml:space="preserve">areas such as open access, gender equality or career conditions for researchers and others. </w:t>
      </w:r>
    </w:p>
    <w:p w14:paraId="521CDC39" w14:textId="46DBF0DE" w:rsidR="009E4B99" w:rsidRPr="006340BE" w:rsidRDefault="00ED1D5B" w:rsidP="00F74968">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A</w:t>
      </w:r>
      <w:r w:rsidR="00A462DA" w:rsidRPr="006340BE">
        <w:rPr>
          <w:rFonts w:ascii="Times New Roman" w:hAnsi="Times New Roman" w:cs="Times New Roman"/>
          <w:bCs/>
          <w:color w:val="000000" w:themeColor="text1"/>
          <w:sz w:val="24"/>
          <w:szCs w:val="24"/>
        </w:rPr>
        <w:t xml:space="preserve"> first step</w:t>
      </w:r>
      <w:r w:rsidRPr="006340BE">
        <w:rPr>
          <w:rFonts w:ascii="Times New Roman" w:hAnsi="Times New Roman" w:cs="Times New Roman"/>
          <w:bCs/>
          <w:color w:val="000000" w:themeColor="text1"/>
          <w:sz w:val="24"/>
          <w:szCs w:val="24"/>
        </w:rPr>
        <w:t xml:space="preserve"> will consist o</w:t>
      </w:r>
      <w:r w:rsidR="009E4B99" w:rsidRPr="006340BE">
        <w:rPr>
          <w:rFonts w:ascii="Times New Roman" w:hAnsi="Times New Roman" w:cs="Times New Roman"/>
          <w:bCs/>
          <w:color w:val="000000" w:themeColor="text1"/>
          <w:sz w:val="24"/>
          <w:szCs w:val="24"/>
        </w:rPr>
        <w:t>f</w:t>
      </w:r>
      <w:r w:rsidRPr="006340BE">
        <w:rPr>
          <w:rFonts w:ascii="Times New Roman" w:hAnsi="Times New Roman" w:cs="Times New Roman"/>
          <w:bCs/>
          <w:color w:val="000000" w:themeColor="text1"/>
          <w:sz w:val="24"/>
          <w:szCs w:val="24"/>
        </w:rPr>
        <w:t xml:space="preserve"> </w:t>
      </w:r>
      <w:r w:rsidR="00A462DA" w:rsidRPr="006340BE">
        <w:rPr>
          <w:rFonts w:ascii="Times New Roman" w:hAnsi="Times New Roman" w:cs="Times New Roman"/>
          <w:bCs/>
          <w:color w:val="000000" w:themeColor="text1"/>
          <w:sz w:val="24"/>
          <w:szCs w:val="24"/>
        </w:rPr>
        <w:t>a</w:t>
      </w:r>
      <w:r w:rsidR="004E1116" w:rsidRPr="006340BE">
        <w:rPr>
          <w:rFonts w:ascii="Times New Roman" w:hAnsi="Times New Roman" w:cs="Times New Roman"/>
          <w:bCs/>
          <w:color w:val="000000" w:themeColor="text1"/>
          <w:sz w:val="24"/>
          <w:szCs w:val="24"/>
        </w:rPr>
        <w:t xml:space="preserve"> </w:t>
      </w:r>
      <w:r w:rsidR="004E1116" w:rsidRPr="007A78F6">
        <w:rPr>
          <w:rFonts w:ascii="Times New Roman" w:hAnsi="Times New Roman" w:cs="Times New Roman"/>
          <w:bCs/>
          <w:color w:val="000000" w:themeColor="text1"/>
          <w:sz w:val="24"/>
          <w:szCs w:val="24"/>
          <w:highlight w:val="yellow"/>
        </w:rPr>
        <w:t>European</w:t>
      </w:r>
      <w:r w:rsidR="00A462DA" w:rsidRPr="007A78F6">
        <w:rPr>
          <w:rFonts w:ascii="Times New Roman" w:hAnsi="Times New Roman" w:cs="Times New Roman"/>
          <w:bCs/>
          <w:color w:val="000000" w:themeColor="text1"/>
          <w:sz w:val="24"/>
          <w:szCs w:val="24"/>
          <w:highlight w:val="yellow"/>
        </w:rPr>
        <w:t xml:space="preserve"> </w:t>
      </w:r>
      <w:r w:rsidR="00A462DA" w:rsidRPr="007A78F6">
        <w:rPr>
          <w:rFonts w:ascii="Times New Roman" w:hAnsi="Times New Roman" w:cs="Times New Roman"/>
          <w:bCs/>
          <w:i/>
          <w:iCs/>
          <w:color w:val="000000" w:themeColor="text1"/>
          <w:sz w:val="24"/>
          <w:szCs w:val="24"/>
          <w:highlight w:val="yellow"/>
        </w:rPr>
        <w:t>Pact for Research and Innovation</w:t>
      </w:r>
      <w:r w:rsidR="00A462DA" w:rsidRPr="007A78F6">
        <w:rPr>
          <w:rFonts w:ascii="Times New Roman" w:hAnsi="Times New Roman" w:cs="Times New Roman"/>
          <w:bCs/>
          <w:color w:val="000000" w:themeColor="text1"/>
          <w:sz w:val="24"/>
          <w:szCs w:val="24"/>
          <w:highlight w:val="yellow"/>
        </w:rPr>
        <w:t xml:space="preserve"> </w:t>
      </w:r>
      <w:r w:rsidR="0090625B" w:rsidRPr="007A78F6">
        <w:rPr>
          <w:rFonts w:ascii="Times New Roman" w:hAnsi="Times New Roman" w:cs="Times New Roman"/>
          <w:bCs/>
          <w:color w:val="000000" w:themeColor="text1"/>
          <w:sz w:val="24"/>
          <w:szCs w:val="24"/>
          <w:highlight w:val="yellow"/>
        </w:rPr>
        <w:t xml:space="preserve">to be proposed by first half of 2021, </w:t>
      </w:r>
      <w:r w:rsidR="009E4B99" w:rsidRPr="007A78F6">
        <w:rPr>
          <w:rFonts w:ascii="Times New Roman" w:hAnsi="Times New Roman" w:cs="Times New Roman"/>
          <w:bCs/>
          <w:color w:val="000000" w:themeColor="text1"/>
          <w:sz w:val="24"/>
          <w:szCs w:val="24"/>
          <w:highlight w:val="yellow"/>
        </w:rPr>
        <w:t xml:space="preserve">aiming at deepening the implementation of the new ERA’s objectives, </w:t>
      </w:r>
      <w:r w:rsidR="002C3EB5" w:rsidRPr="007A78F6">
        <w:rPr>
          <w:rFonts w:ascii="Times New Roman" w:hAnsi="Times New Roman" w:cs="Times New Roman"/>
          <w:bCs/>
          <w:color w:val="000000" w:themeColor="text1"/>
          <w:sz w:val="24"/>
          <w:szCs w:val="24"/>
          <w:highlight w:val="yellow"/>
        </w:rPr>
        <w:t>setting</w:t>
      </w:r>
      <w:r w:rsidR="002C3EB5" w:rsidRPr="006340BE">
        <w:rPr>
          <w:rFonts w:ascii="Times New Roman" w:hAnsi="Times New Roman" w:cs="Times New Roman"/>
          <w:bCs/>
          <w:color w:val="000000" w:themeColor="text1"/>
          <w:sz w:val="24"/>
          <w:szCs w:val="24"/>
        </w:rPr>
        <w:t xml:space="preserve"> out</w:t>
      </w:r>
      <w:r w:rsidRPr="006340BE">
        <w:rPr>
          <w:rFonts w:ascii="Times New Roman" w:hAnsi="Times New Roman" w:cs="Times New Roman"/>
          <w:bCs/>
          <w:color w:val="000000" w:themeColor="text1"/>
          <w:sz w:val="24"/>
          <w:szCs w:val="24"/>
        </w:rPr>
        <w:t xml:space="preserve"> </w:t>
      </w:r>
      <w:r w:rsidR="009E4B99" w:rsidRPr="006340BE">
        <w:rPr>
          <w:rFonts w:ascii="Times New Roman" w:hAnsi="Times New Roman" w:cs="Times New Roman"/>
          <w:bCs/>
          <w:color w:val="000000" w:themeColor="text1"/>
          <w:sz w:val="24"/>
          <w:szCs w:val="24"/>
        </w:rPr>
        <w:t xml:space="preserve">commonly agreed </w:t>
      </w:r>
      <w:r w:rsidR="00A462DA" w:rsidRPr="006340BE">
        <w:rPr>
          <w:rFonts w:ascii="Times New Roman" w:hAnsi="Times New Roman" w:cs="Times New Roman"/>
          <w:bCs/>
          <w:color w:val="000000" w:themeColor="text1"/>
          <w:sz w:val="24"/>
          <w:szCs w:val="24"/>
        </w:rPr>
        <w:t>values and principles</w:t>
      </w:r>
      <w:r w:rsidR="002C3EB5" w:rsidRPr="006340BE">
        <w:rPr>
          <w:rFonts w:ascii="Times New Roman" w:hAnsi="Times New Roman" w:cs="Times New Roman"/>
          <w:bCs/>
          <w:color w:val="000000" w:themeColor="text1"/>
          <w:sz w:val="24"/>
          <w:szCs w:val="24"/>
        </w:rPr>
        <w:t xml:space="preserve"> and</w:t>
      </w:r>
      <w:r w:rsidR="00651A46" w:rsidRPr="006340BE">
        <w:rPr>
          <w:rFonts w:ascii="Times New Roman" w:hAnsi="Times New Roman" w:cs="Times New Roman"/>
          <w:bCs/>
          <w:color w:val="000000" w:themeColor="text1"/>
          <w:sz w:val="24"/>
          <w:szCs w:val="24"/>
        </w:rPr>
        <w:t xml:space="preserve"> indicati</w:t>
      </w:r>
      <w:r w:rsidR="002C3EB5" w:rsidRPr="006340BE">
        <w:rPr>
          <w:rFonts w:ascii="Times New Roman" w:hAnsi="Times New Roman" w:cs="Times New Roman"/>
          <w:bCs/>
          <w:color w:val="000000" w:themeColor="text1"/>
          <w:sz w:val="24"/>
          <w:szCs w:val="24"/>
        </w:rPr>
        <w:t>ng</w:t>
      </w:r>
      <w:r w:rsidR="00651A46" w:rsidRPr="006340BE">
        <w:rPr>
          <w:rFonts w:ascii="Times New Roman" w:hAnsi="Times New Roman" w:cs="Times New Roman"/>
          <w:bCs/>
          <w:color w:val="000000" w:themeColor="text1"/>
          <w:sz w:val="24"/>
          <w:szCs w:val="24"/>
        </w:rPr>
        <w:t xml:space="preserve"> </w:t>
      </w:r>
      <w:r w:rsidRPr="006340BE">
        <w:rPr>
          <w:rFonts w:ascii="Times New Roman" w:hAnsi="Times New Roman" w:cs="Times New Roman"/>
          <w:bCs/>
          <w:color w:val="000000" w:themeColor="text1"/>
          <w:sz w:val="24"/>
          <w:szCs w:val="24"/>
        </w:rPr>
        <w:t xml:space="preserve">the </w:t>
      </w:r>
      <w:r w:rsidR="00651A46" w:rsidRPr="006340BE">
        <w:rPr>
          <w:rFonts w:ascii="Times New Roman" w:hAnsi="Times New Roman" w:cs="Times New Roman"/>
          <w:bCs/>
          <w:color w:val="000000" w:themeColor="text1"/>
          <w:sz w:val="24"/>
          <w:szCs w:val="24"/>
        </w:rPr>
        <w:t xml:space="preserve">areas where Member States </w:t>
      </w:r>
      <w:r w:rsidRPr="006340BE">
        <w:rPr>
          <w:rFonts w:ascii="Times New Roman" w:hAnsi="Times New Roman" w:cs="Times New Roman"/>
          <w:bCs/>
          <w:color w:val="000000" w:themeColor="text1"/>
          <w:sz w:val="24"/>
          <w:szCs w:val="24"/>
        </w:rPr>
        <w:t xml:space="preserve">will </w:t>
      </w:r>
      <w:r w:rsidR="00651A46" w:rsidRPr="006340BE">
        <w:rPr>
          <w:rFonts w:ascii="Times New Roman" w:hAnsi="Times New Roman" w:cs="Times New Roman"/>
          <w:bCs/>
          <w:color w:val="000000" w:themeColor="text1"/>
          <w:sz w:val="24"/>
          <w:szCs w:val="24"/>
        </w:rPr>
        <w:t>joint</w:t>
      </w:r>
      <w:r w:rsidR="007E7711" w:rsidRPr="006340BE">
        <w:rPr>
          <w:rFonts w:ascii="Times New Roman" w:hAnsi="Times New Roman" w:cs="Times New Roman"/>
          <w:bCs/>
          <w:color w:val="000000" w:themeColor="text1"/>
          <w:sz w:val="24"/>
          <w:szCs w:val="24"/>
        </w:rPr>
        <w:t>ly</w:t>
      </w:r>
      <w:r w:rsidR="00651A46" w:rsidRPr="006340BE">
        <w:rPr>
          <w:rFonts w:ascii="Times New Roman" w:hAnsi="Times New Roman" w:cs="Times New Roman"/>
          <w:bCs/>
          <w:color w:val="000000" w:themeColor="text1"/>
          <w:sz w:val="24"/>
          <w:szCs w:val="24"/>
        </w:rPr>
        <w:t xml:space="preserve"> develop priority actions. </w:t>
      </w:r>
      <w:r w:rsidR="00074A43" w:rsidRPr="006340BE">
        <w:rPr>
          <w:rFonts w:ascii="Times New Roman" w:hAnsi="Times New Roman" w:cs="Times New Roman"/>
          <w:bCs/>
          <w:color w:val="000000" w:themeColor="text1"/>
          <w:sz w:val="24"/>
          <w:szCs w:val="24"/>
        </w:rPr>
        <w:t xml:space="preserve">It </w:t>
      </w:r>
      <w:r w:rsidR="00651A46" w:rsidRPr="006340BE">
        <w:rPr>
          <w:rFonts w:ascii="Times New Roman" w:hAnsi="Times New Roman" w:cs="Times New Roman"/>
          <w:bCs/>
          <w:color w:val="000000" w:themeColor="text1"/>
          <w:sz w:val="24"/>
          <w:szCs w:val="24"/>
        </w:rPr>
        <w:t>will take the form of</w:t>
      </w:r>
      <w:r w:rsidR="00A462DA" w:rsidRPr="006340BE">
        <w:rPr>
          <w:rFonts w:ascii="Times New Roman" w:hAnsi="Times New Roman" w:cs="Times New Roman"/>
          <w:bCs/>
          <w:color w:val="000000" w:themeColor="text1"/>
          <w:sz w:val="24"/>
          <w:szCs w:val="24"/>
        </w:rPr>
        <w:t xml:space="preserve"> a single </w:t>
      </w:r>
      <w:r w:rsidR="00651A46" w:rsidRPr="006340BE">
        <w:rPr>
          <w:rFonts w:ascii="Times New Roman" w:hAnsi="Times New Roman" w:cs="Times New Roman"/>
          <w:bCs/>
          <w:color w:val="000000" w:themeColor="text1"/>
          <w:sz w:val="24"/>
          <w:szCs w:val="24"/>
        </w:rPr>
        <w:t xml:space="preserve">non-binding </w:t>
      </w:r>
      <w:r w:rsidR="001B107B" w:rsidRPr="006340BE">
        <w:rPr>
          <w:rFonts w:ascii="Times New Roman" w:hAnsi="Times New Roman" w:cs="Times New Roman"/>
          <w:bCs/>
          <w:color w:val="000000" w:themeColor="text1"/>
          <w:sz w:val="24"/>
          <w:szCs w:val="24"/>
        </w:rPr>
        <w:t>initiative</w:t>
      </w:r>
      <w:r w:rsidR="00BF48AA" w:rsidRPr="006340BE">
        <w:rPr>
          <w:rFonts w:ascii="Times New Roman" w:hAnsi="Times New Roman" w:cs="Times New Roman"/>
          <w:bCs/>
          <w:color w:val="000000" w:themeColor="text1"/>
          <w:sz w:val="24"/>
          <w:szCs w:val="24"/>
        </w:rPr>
        <w:t>.</w:t>
      </w:r>
    </w:p>
    <w:p w14:paraId="35F3230B" w14:textId="2DE07ABE" w:rsidR="00ED1D5B" w:rsidRPr="006340BE" w:rsidRDefault="00BF48AA" w:rsidP="00F74968">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 xml:space="preserve">Through its coordination work, </w:t>
      </w:r>
      <w:r w:rsidRPr="007A78F6">
        <w:rPr>
          <w:rFonts w:ascii="Times New Roman" w:hAnsi="Times New Roman" w:cs="Times New Roman"/>
          <w:bCs/>
          <w:color w:val="000000" w:themeColor="text1"/>
          <w:sz w:val="24"/>
          <w:szCs w:val="24"/>
          <w:highlight w:val="yellow"/>
        </w:rPr>
        <w:t xml:space="preserve">the </w:t>
      </w:r>
      <w:r w:rsidRPr="007A78F6">
        <w:rPr>
          <w:rFonts w:ascii="Times New Roman" w:hAnsi="Times New Roman" w:cs="Times New Roman"/>
          <w:bCs/>
          <w:i/>
          <w:color w:val="000000" w:themeColor="text1"/>
          <w:sz w:val="24"/>
          <w:szCs w:val="24"/>
          <w:highlight w:val="yellow"/>
        </w:rPr>
        <w:t>ERA Forum for Transition</w:t>
      </w:r>
      <w:r w:rsidRPr="007A78F6">
        <w:rPr>
          <w:rFonts w:ascii="Times New Roman" w:hAnsi="Times New Roman" w:cs="Times New Roman"/>
          <w:bCs/>
          <w:color w:val="000000" w:themeColor="text1"/>
          <w:sz w:val="24"/>
          <w:szCs w:val="24"/>
          <w:highlight w:val="yellow"/>
        </w:rPr>
        <w:t xml:space="preserve"> may also contribute</w:t>
      </w:r>
      <w:r w:rsidRPr="006340BE">
        <w:rPr>
          <w:rFonts w:ascii="Times New Roman" w:hAnsi="Times New Roman" w:cs="Times New Roman"/>
          <w:bCs/>
          <w:color w:val="000000" w:themeColor="text1"/>
          <w:sz w:val="24"/>
          <w:szCs w:val="24"/>
        </w:rPr>
        <w:t xml:space="preserve"> to the identification of investments and reforms to help Member States prepare their </w:t>
      </w:r>
      <w:r w:rsidRPr="006340BE">
        <w:rPr>
          <w:rFonts w:ascii="Times New Roman" w:hAnsi="Times New Roman" w:cs="Times New Roman"/>
          <w:bCs/>
          <w:iCs/>
          <w:color w:val="000000" w:themeColor="text1"/>
          <w:sz w:val="24"/>
          <w:szCs w:val="24"/>
        </w:rPr>
        <w:t xml:space="preserve">national Recovery and Resilience plans </w:t>
      </w:r>
      <w:r w:rsidR="00E2365B" w:rsidRPr="006340BE">
        <w:rPr>
          <w:rFonts w:ascii="Times New Roman" w:hAnsi="Times New Roman" w:cs="Times New Roman"/>
          <w:bCs/>
          <w:iCs/>
          <w:color w:val="000000" w:themeColor="text1"/>
          <w:sz w:val="24"/>
          <w:szCs w:val="24"/>
        </w:rPr>
        <w:t xml:space="preserve">for </w:t>
      </w:r>
      <w:r w:rsidR="00ED1D5B" w:rsidRPr="006340BE">
        <w:rPr>
          <w:rFonts w:ascii="Times New Roman" w:hAnsi="Times New Roman" w:cs="Times New Roman"/>
          <w:bCs/>
          <w:color w:val="000000" w:themeColor="text1"/>
          <w:sz w:val="24"/>
          <w:szCs w:val="24"/>
        </w:rPr>
        <w:t xml:space="preserve">the implementation of </w:t>
      </w:r>
      <w:r w:rsidR="00ED1D5B" w:rsidRPr="007A78F6">
        <w:rPr>
          <w:rFonts w:ascii="Times New Roman" w:hAnsi="Times New Roman" w:cs="Times New Roman"/>
          <w:bCs/>
          <w:color w:val="000000" w:themeColor="text1"/>
          <w:sz w:val="24"/>
          <w:szCs w:val="24"/>
          <w:highlight w:val="yellow"/>
        </w:rPr>
        <w:t xml:space="preserve">the </w:t>
      </w:r>
      <w:r w:rsidR="00ED1D5B" w:rsidRPr="007A78F6">
        <w:rPr>
          <w:rFonts w:ascii="Times New Roman" w:hAnsi="Times New Roman" w:cs="Times New Roman"/>
          <w:bCs/>
          <w:i/>
          <w:iCs/>
          <w:color w:val="000000" w:themeColor="text1"/>
          <w:sz w:val="24"/>
          <w:szCs w:val="24"/>
          <w:highlight w:val="yellow"/>
        </w:rPr>
        <w:t>Recovery and Resilience Facility</w:t>
      </w:r>
      <w:r w:rsidR="00ED1D5B" w:rsidRPr="007A78F6">
        <w:rPr>
          <w:rFonts w:ascii="Times New Roman" w:hAnsi="Times New Roman" w:cs="Times New Roman"/>
          <w:bCs/>
          <w:color w:val="000000" w:themeColor="text1"/>
          <w:sz w:val="24"/>
          <w:szCs w:val="24"/>
          <w:highlight w:val="yellow"/>
        </w:rPr>
        <w:t>.</w:t>
      </w:r>
    </w:p>
    <w:p w14:paraId="0E761386" w14:textId="033A2B1F" w:rsidR="001B107B" w:rsidRPr="006340BE" w:rsidRDefault="00E16FB7" w:rsidP="00F74968">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 xml:space="preserve">A </w:t>
      </w:r>
      <w:r w:rsidRPr="004D1A7E">
        <w:rPr>
          <w:rFonts w:ascii="Times New Roman" w:hAnsi="Times New Roman" w:cs="Times New Roman"/>
          <w:bCs/>
          <w:color w:val="000000" w:themeColor="text1"/>
          <w:sz w:val="24"/>
          <w:szCs w:val="24"/>
          <w:highlight w:val="yellow"/>
        </w:rPr>
        <w:t xml:space="preserve">transparent monitoring </w:t>
      </w:r>
      <w:r w:rsidR="003D2C83" w:rsidRPr="004D1A7E">
        <w:rPr>
          <w:rFonts w:ascii="Times New Roman" w:hAnsi="Times New Roman" w:cs="Times New Roman"/>
          <w:bCs/>
          <w:color w:val="000000" w:themeColor="text1"/>
          <w:sz w:val="24"/>
          <w:szCs w:val="24"/>
          <w:highlight w:val="yellow"/>
        </w:rPr>
        <w:t>system</w:t>
      </w:r>
      <w:r w:rsidR="003D2C83" w:rsidRPr="006340BE">
        <w:rPr>
          <w:rFonts w:ascii="Times New Roman" w:hAnsi="Times New Roman" w:cs="Times New Roman"/>
          <w:bCs/>
          <w:color w:val="000000" w:themeColor="text1"/>
          <w:sz w:val="24"/>
          <w:szCs w:val="24"/>
        </w:rPr>
        <w:t xml:space="preserve"> </w:t>
      </w:r>
      <w:r w:rsidRPr="006340BE">
        <w:rPr>
          <w:rFonts w:ascii="Times New Roman" w:hAnsi="Times New Roman" w:cs="Times New Roman"/>
          <w:bCs/>
          <w:color w:val="000000" w:themeColor="text1"/>
          <w:sz w:val="24"/>
          <w:szCs w:val="24"/>
        </w:rPr>
        <w:t>will be essential</w:t>
      </w:r>
      <w:r w:rsidR="003D2C83" w:rsidRPr="006340BE">
        <w:rPr>
          <w:rFonts w:ascii="Times New Roman" w:hAnsi="Times New Roman" w:cs="Times New Roman"/>
          <w:bCs/>
          <w:color w:val="000000" w:themeColor="text1"/>
          <w:sz w:val="24"/>
          <w:szCs w:val="24"/>
        </w:rPr>
        <w:t xml:space="preserve"> through the </w:t>
      </w:r>
      <w:r w:rsidR="003D2C83" w:rsidRPr="004D1A7E">
        <w:rPr>
          <w:rFonts w:ascii="Times New Roman" w:hAnsi="Times New Roman" w:cs="Times New Roman"/>
          <w:bCs/>
          <w:color w:val="000000" w:themeColor="text1"/>
          <w:sz w:val="24"/>
          <w:szCs w:val="24"/>
          <w:highlight w:val="yellow"/>
        </w:rPr>
        <w:t xml:space="preserve">publication of a yearly </w:t>
      </w:r>
      <w:r w:rsidR="003D2C83" w:rsidRPr="004D1A7E">
        <w:rPr>
          <w:rFonts w:ascii="Times New Roman" w:hAnsi="Times New Roman" w:cs="Times New Roman"/>
          <w:bCs/>
          <w:i/>
          <w:iCs/>
          <w:color w:val="000000" w:themeColor="text1"/>
          <w:sz w:val="24"/>
          <w:szCs w:val="24"/>
          <w:highlight w:val="yellow"/>
        </w:rPr>
        <w:t>ERA Scoreboard</w:t>
      </w:r>
      <w:r w:rsidR="000E6E52" w:rsidRPr="006340BE">
        <w:rPr>
          <w:rFonts w:ascii="Times New Roman" w:hAnsi="Times New Roman" w:cs="Times New Roman"/>
          <w:bCs/>
          <w:iCs/>
          <w:color w:val="000000" w:themeColor="text1"/>
          <w:sz w:val="24"/>
          <w:szCs w:val="24"/>
        </w:rPr>
        <w:t xml:space="preserve"> which will</w:t>
      </w:r>
      <w:r w:rsidR="003D2C83" w:rsidRPr="006340BE">
        <w:rPr>
          <w:rFonts w:ascii="Times New Roman" w:hAnsi="Times New Roman" w:cs="Times New Roman"/>
          <w:bCs/>
          <w:color w:val="000000" w:themeColor="text1"/>
          <w:sz w:val="24"/>
          <w:szCs w:val="24"/>
        </w:rPr>
        <w:t xml:space="preserve"> </w:t>
      </w:r>
      <w:r w:rsidR="00ED1D5B" w:rsidRPr="006340BE">
        <w:rPr>
          <w:rFonts w:ascii="Times New Roman" w:hAnsi="Times New Roman" w:cs="Times New Roman"/>
          <w:bCs/>
          <w:color w:val="000000" w:themeColor="text1"/>
          <w:sz w:val="24"/>
          <w:szCs w:val="24"/>
        </w:rPr>
        <w:t xml:space="preserve">address the </w:t>
      </w:r>
      <w:r w:rsidR="001B107B" w:rsidRPr="006340BE">
        <w:rPr>
          <w:rFonts w:ascii="Times New Roman" w:hAnsi="Times New Roman" w:cs="Times New Roman"/>
          <w:bCs/>
          <w:color w:val="000000" w:themeColor="text1"/>
          <w:sz w:val="24"/>
          <w:szCs w:val="24"/>
        </w:rPr>
        <w:t>progress</w:t>
      </w:r>
      <w:r w:rsidR="00ED1D5B" w:rsidRPr="006340BE">
        <w:rPr>
          <w:rFonts w:ascii="Times New Roman" w:hAnsi="Times New Roman" w:cs="Times New Roman"/>
          <w:bCs/>
          <w:color w:val="000000" w:themeColor="text1"/>
          <w:sz w:val="24"/>
          <w:szCs w:val="24"/>
        </w:rPr>
        <w:t xml:space="preserve"> at EU and national level</w:t>
      </w:r>
      <w:r w:rsidR="000E6E52" w:rsidRPr="006340BE">
        <w:rPr>
          <w:rFonts w:ascii="Times New Roman" w:hAnsi="Times New Roman" w:cs="Times New Roman"/>
          <w:bCs/>
          <w:color w:val="000000" w:themeColor="text1"/>
          <w:sz w:val="24"/>
          <w:szCs w:val="24"/>
        </w:rPr>
        <w:t>,</w:t>
      </w:r>
      <w:r w:rsidR="00B909FA" w:rsidRPr="006340BE">
        <w:rPr>
          <w:rFonts w:ascii="Times New Roman" w:hAnsi="Times New Roman" w:cs="Times New Roman"/>
          <w:bCs/>
          <w:color w:val="000000" w:themeColor="text1"/>
          <w:sz w:val="24"/>
          <w:szCs w:val="24"/>
        </w:rPr>
        <w:t xml:space="preserve"> revis</w:t>
      </w:r>
      <w:r w:rsidR="000E6E52" w:rsidRPr="006340BE">
        <w:rPr>
          <w:rFonts w:ascii="Times New Roman" w:hAnsi="Times New Roman" w:cs="Times New Roman"/>
          <w:bCs/>
          <w:color w:val="000000" w:themeColor="text1"/>
          <w:sz w:val="24"/>
          <w:szCs w:val="24"/>
        </w:rPr>
        <w:t>e</w:t>
      </w:r>
      <w:r w:rsidR="001B107B" w:rsidRPr="006340BE">
        <w:rPr>
          <w:rFonts w:ascii="Times New Roman" w:hAnsi="Times New Roman" w:cs="Times New Roman"/>
          <w:bCs/>
          <w:color w:val="000000" w:themeColor="text1"/>
          <w:sz w:val="24"/>
          <w:szCs w:val="24"/>
        </w:rPr>
        <w:t xml:space="preserve"> priorities and actions</w:t>
      </w:r>
      <w:r w:rsidR="00B909FA" w:rsidRPr="006340BE">
        <w:rPr>
          <w:rFonts w:ascii="Times New Roman" w:hAnsi="Times New Roman" w:cs="Times New Roman"/>
          <w:bCs/>
          <w:color w:val="000000" w:themeColor="text1"/>
          <w:sz w:val="24"/>
          <w:szCs w:val="24"/>
        </w:rPr>
        <w:t xml:space="preserve"> in</w:t>
      </w:r>
      <w:r w:rsidR="001B107B" w:rsidRPr="006340BE">
        <w:rPr>
          <w:rFonts w:ascii="Times New Roman" w:hAnsi="Times New Roman" w:cs="Times New Roman"/>
          <w:bCs/>
          <w:color w:val="000000" w:themeColor="text1"/>
          <w:sz w:val="24"/>
          <w:szCs w:val="24"/>
        </w:rPr>
        <w:t xml:space="preserve"> the ERA Roadmap</w:t>
      </w:r>
      <w:r w:rsidR="00963BBF" w:rsidRPr="006340BE">
        <w:rPr>
          <w:rFonts w:ascii="Times New Roman" w:hAnsi="Times New Roman" w:cs="Times New Roman"/>
          <w:bCs/>
          <w:color w:val="000000" w:themeColor="text1"/>
          <w:sz w:val="24"/>
          <w:szCs w:val="24"/>
        </w:rPr>
        <w:t xml:space="preserve"> </w:t>
      </w:r>
      <w:r w:rsidR="000E6E52" w:rsidRPr="006340BE">
        <w:rPr>
          <w:rFonts w:ascii="Times New Roman" w:hAnsi="Times New Roman" w:cs="Times New Roman"/>
          <w:bCs/>
          <w:color w:val="000000" w:themeColor="text1"/>
          <w:sz w:val="24"/>
          <w:szCs w:val="24"/>
        </w:rPr>
        <w:t>and provide evidence and analysis for the European Semester</w:t>
      </w:r>
      <w:r w:rsidR="00B909FA" w:rsidRPr="006340BE">
        <w:rPr>
          <w:rFonts w:ascii="Times New Roman" w:hAnsi="Times New Roman" w:cs="Times New Roman"/>
          <w:bCs/>
          <w:color w:val="000000" w:themeColor="text1"/>
          <w:sz w:val="24"/>
          <w:szCs w:val="24"/>
        </w:rPr>
        <w:t>.</w:t>
      </w:r>
    </w:p>
    <w:p w14:paraId="62D7B034" w14:textId="12B76D6C" w:rsidR="004E1116" w:rsidRPr="006340BE" w:rsidRDefault="005D3FEC" w:rsidP="00F74968">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 xml:space="preserve">The ERAC </w:t>
      </w:r>
      <w:r w:rsidR="004E1116" w:rsidRPr="006340BE">
        <w:rPr>
          <w:rFonts w:ascii="Times New Roman" w:hAnsi="Times New Roman" w:cs="Times New Roman"/>
          <w:bCs/>
          <w:color w:val="000000" w:themeColor="text1"/>
          <w:sz w:val="24"/>
          <w:szCs w:val="24"/>
        </w:rPr>
        <w:t xml:space="preserve">will </w:t>
      </w:r>
      <w:r w:rsidRPr="006340BE">
        <w:rPr>
          <w:rFonts w:ascii="Times New Roman" w:hAnsi="Times New Roman" w:cs="Times New Roman"/>
          <w:bCs/>
          <w:color w:val="000000" w:themeColor="text1"/>
          <w:sz w:val="24"/>
          <w:szCs w:val="24"/>
        </w:rPr>
        <w:t xml:space="preserve">continue to provide strategic advice </w:t>
      </w:r>
      <w:r w:rsidR="00F14620" w:rsidRPr="006340BE">
        <w:rPr>
          <w:rFonts w:ascii="Times New Roman" w:hAnsi="Times New Roman" w:cs="Times New Roman"/>
          <w:bCs/>
          <w:color w:val="000000" w:themeColor="text1"/>
          <w:sz w:val="24"/>
          <w:szCs w:val="24"/>
        </w:rPr>
        <w:t xml:space="preserve">on </w:t>
      </w:r>
      <w:r w:rsidRPr="006340BE">
        <w:rPr>
          <w:rFonts w:ascii="Times New Roman" w:hAnsi="Times New Roman" w:cs="Times New Roman"/>
          <w:bCs/>
          <w:color w:val="000000" w:themeColor="text1"/>
          <w:sz w:val="24"/>
          <w:szCs w:val="24"/>
        </w:rPr>
        <w:t>priority setting</w:t>
      </w:r>
      <w:r w:rsidR="00F14620" w:rsidRPr="006340BE">
        <w:rPr>
          <w:rFonts w:ascii="Times New Roman" w:hAnsi="Times New Roman" w:cs="Times New Roman"/>
          <w:bCs/>
          <w:color w:val="000000" w:themeColor="text1"/>
          <w:sz w:val="24"/>
          <w:szCs w:val="24"/>
        </w:rPr>
        <w:t xml:space="preserve">, </w:t>
      </w:r>
      <w:r w:rsidRPr="006340BE">
        <w:rPr>
          <w:rFonts w:ascii="Times New Roman" w:hAnsi="Times New Roman" w:cs="Times New Roman"/>
          <w:bCs/>
          <w:color w:val="000000" w:themeColor="text1"/>
          <w:sz w:val="24"/>
          <w:szCs w:val="24"/>
        </w:rPr>
        <w:t>monitoring and assessment, to deliver on the new ERA vision. ERAC should ensure the follow-up at national level and continue to carry out its oversight role of day-to-day implementation through working groups</w:t>
      </w:r>
      <w:r w:rsidR="00835FE6" w:rsidRPr="006340BE">
        <w:rPr>
          <w:rFonts w:ascii="Times New Roman" w:hAnsi="Times New Roman" w:cs="Times New Roman"/>
          <w:bCs/>
          <w:color w:val="000000" w:themeColor="text1"/>
          <w:sz w:val="24"/>
          <w:szCs w:val="24"/>
        </w:rPr>
        <w:t>.</w:t>
      </w:r>
      <w:r w:rsidR="004E1116" w:rsidRPr="006340BE">
        <w:rPr>
          <w:rFonts w:ascii="Times New Roman" w:hAnsi="Times New Roman" w:cs="Times New Roman"/>
          <w:bCs/>
          <w:color w:val="000000" w:themeColor="text1"/>
          <w:sz w:val="24"/>
          <w:szCs w:val="24"/>
        </w:rPr>
        <w:t xml:space="preserve"> Lessons learned from the Horizon Europe co-creation strategic planning process should be taken into account.</w:t>
      </w:r>
    </w:p>
    <w:p w14:paraId="078FA165" w14:textId="77777777" w:rsidR="00E94CD4" w:rsidRPr="006340BE" w:rsidRDefault="001B107B" w:rsidP="00F74968">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 xml:space="preserve">The Commission </w:t>
      </w:r>
      <w:r w:rsidR="00B909FA" w:rsidRPr="006340BE">
        <w:rPr>
          <w:rFonts w:ascii="Times New Roman" w:hAnsi="Times New Roman" w:cs="Times New Roman"/>
          <w:bCs/>
          <w:color w:val="000000" w:themeColor="text1"/>
          <w:sz w:val="24"/>
          <w:szCs w:val="24"/>
        </w:rPr>
        <w:t>will</w:t>
      </w:r>
      <w:r w:rsidRPr="006340BE">
        <w:rPr>
          <w:rFonts w:ascii="Times New Roman" w:hAnsi="Times New Roman" w:cs="Times New Roman"/>
          <w:bCs/>
          <w:color w:val="000000" w:themeColor="text1"/>
          <w:sz w:val="24"/>
          <w:szCs w:val="24"/>
        </w:rPr>
        <w:t xml:space="preserve"> assist </w:t>
      </w:r>
      <w:r w:rsidR="00B909FA" w:rsidRPr="006340BE">
        <w:rPr>
          <w:rFonts w:ascii="Times New Roman" w:hAnsi="Times New Roman" w:cs="Times New Roman"/>
          <w:bCs/>
          <w:color w:val="000000" w:themeColor="text1"/>
          <w:sz w:val="24"/>
          <w:szCs w:val="24"/>
        </w:rPr>
        <w:t xml:space="preserve">the </w:t>
      </w:r>
      <w:r w:rsidRPr="006340BE">
        <w:rPr>
          <w:rFonts w:ascii="Times New Roman" w:hAnsi="Times New Roman" w:cs="Times New Roman"/>
          <w:bCs/>
          <w:color w:val="000000" w:themeColor="text1"/>
          <w:sz w:val="24"/>
          <w:szCs w:val="24"/>
        </w:rPr>
        <w:t xml:space="preserve">running </w:t>
      </w:r>
      <w:r w:rsidR="00B909FA" w:rsidRPr="006340BE">
        <w:rPr>
          <w:rFonts w:ascii="Times New Roman" w:hAnsi="Times New Roman" w:cs="Times New Roman"/>
          <w:bCs/>
          <w:color w:val="000000" w:themeColor="text1"/>
          <w:sz w:val="24"/>
          <w:szCs w:val="24"/>
        </w:rPr>
        <w:t xml:space="preserve">of </w:t>
      </w:r>
      <w:r w:rsidRPr="006340BE">
        <w:rPr>
          <w:rFonts w:ascii="Times New Roman" w:hAnsi="Times New Roman" w:cs="Times New Roman"/>
          <w:bCs/>
          <w:color w:val="000000" w:themeColor="text1"/>
          <w:sz w:val="24"/>
          <w:szCs w:val="24"/>
        </w:rPr>
        <w:t xml:space="preserve">the groups equipping them with the necessary resources </w:t>
      </w:r>
      <w:r w:rsidR="00211A97" w:rsidRPr="006340BE">
        <w:rPr>
          <w:rFonts w:ascii="Times New Roman" w:hAnsi="Times New Roman" w:cs="Times New Roman"/>
          <w:bCs/>
          <w:color w:val="000000" w:themeColor="text1"/>
          <w:sz w:val="24"/>
          <w:szCs w:val="24"/>
        </w:rPr>
        <w:t xml:space="preserve">and contributing to agenda setting </w:t>
      </w:r>
      <w:r w:rsidRPr="006340BE">
        <w:rPr>
          <w:rFonts w:ascii="Times New Roman" w:hAnsi="Times New Roman" w:cs="Times New Roman"/>
          <w:bCs/>
          <w:color w:val="000000" w:themeColor="text1"/>
          <w:sz w:val="24"/>
          <w:szCs w:val="24"/>
        </w:rPr>
        <w:t xml:space="preserve">and co-chairing. </w:t>
      </w:r>
      <w:r w:rsidR="00E94CD4" w:rsidRPr="006340BE">
        <w:rPr>
          <w:rFonts w:ascii="Times New Roman" w:hAnsi="Times New Roman" w:cs="Times New Roman"/>
          <w:bCs/>
          <w:color w:val="000000" w:themeColor="text1"/>
          <w:sz w:val="24"/>
          <w:szCs w:val="24"/>
        </w:rPr>
        <w:t xml:space="preserve">Countries </w:t>
      </w:r>
      <w:r w:rsidR="005D3FEC" w:rsidRPr="006340BE">
        <w:rPr>
          <w:rFonts w:ascii="Times New Roman" w:hAnsi="Times New Roman" w:cs="Times New Roman"/>
          <w:bCs/>
          <w:color w:val="000000" w:themeColor="text1"/>
          <w:sz w:val="24"/>
          <w:szCs w:val="24"/>
        </w:rPr>
        <w:t xml:space="preserve">associated to the Framework Programme </w:t>
      </w:r>
      <w:r w:rsidR="00E94CD4" w:rsidRPr="006340BE">
        <w:rPr>
          <w:rFonts w:ascii="Times New Roman" w:hAnsi="Times New Roman" w:cs="Times New Roman"/>
          <w:bCs/>
          <w:color w:val="000000" w:themeColor="text1"/>
          <w:sz w:val="24"/>
          <w:szCs w:val="24"/>
        </w:rPr>
        <w:t>will be invited to participate as observers, provided this is foreseen in the respective association agreements.</w:t>
      </w:r>
    </w:p>
    <w:p w14:paraId="2C2F65C0" w14:textId="77777777" w:rsidR="001B107B" w:rsidRPr="007A78F6" w:rsidRDefault="001B107B" w:rsidP="00F7496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highlight w:val="yellow"/>
        </w:rPr>
      </w:pPr>
      <w:r w:rsidRPr="007A78F6">
        <w:rPr>
          <w:rFonts w:ascii="Times New Roman" w:hAnsi="Times New Roman" w:cs="Times New Roman"/>
          <w:color w:val="000000" w:themeColor="text1"/>
          <w:sz w:val="24"/>
          <w:szCs w:val="24"/>
          <w:highlight w:val="yellow"/>
        </w:rPr>
        <w:t>The Commission will:</w:t>
      </w:r>
    </w:p>
    <w:p w14:paraId="315F4A39" w14:textId="72C15CDB" w:rsidR="001B107B" w:rsidRPr="007A78F6" w:rsidRDefault="009878EA" w:rsidP="009E3399">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both"/>
        <w:rPr>
          <w:rFonts w:ascii="Times New Roman" w:hAnsi="Times New Roman" w:cs="Times New Roman"/>
          <w:color w:val="000000" w:themeColor="text1"/>
          <w:sz w:val="24"/>
          <w:szCs w:val="24"/>
          <w:highlight w:val="yellow"/>
        </w:rPr>
      </w:pPr>
      <w:r w:rsidRPr="007A78F6">
        <w:rPr>
          <w:rFonts w:ascii="Times New Roman" w:hAnsi="Times New Roman" w:cs="Times New Roman"/>
          <w:color w:val="000000" w:themeColor="text1"/>
          <w:sz w:val="24"/>
          <w:szCs w:val="24"/>
          <w:highlight w:val="yellow"/>
        </w:rPr>
        <w:t>Building on the lessons learned from the Horizon Europe Strategic Planning process, develop with Member States an approach to set and implement strategic priorities that deliver on the ERA agenda</w:t>
      </w:r>
      <w:r w:rsidR="0090625B" w:rsidRPr="007A78F6">
        <w:rPr>
          <w:rFonts w:ascii="Times New Roman" w:hAnsi="Times New Roman" w:cs="Times New Roman"/>
          <w:color w:val="000000" w:themeColor="text1"/>
          <w:sz w:val="24"/>
          <w:szCs w:val="24"/>
          <w:highlight w:val="yellow"/>
        </w:rPr>
        <w:t xml:space="preserve"> through the European Forum of Transition and</w:t>
      </w:r>
      <w:r w:rsidRPr="007A78F6">
        <w:rPr>
          <w:rFonts w:ascii="Times New Roman" w:hAnsi="Times New Roman" w:cs="Times New Roman"/>
          <w:color w:val="000000" w:themeColor="text1"/>
          <w:sz w:val="24"/>
          <w:szCs w:val="24"/>
          <w:highlight w:val="yellow"/>
        </w:rPr>
        <w:t xml:space="preserve"> </w:t>
      </w:r>
      <w:r w:rsidR="00A67061" w:rsidRPr="007A78F6">
        <w:rPr>
          <w:rFonts w:ascii="Times New Roman" w:hAnsi="Times New Roman" w:cs="Times New Roman"/>
          <w:color w:val="000000" w:themeColor="text1"/>
          <w:sz w:val="24"/>
          <w:szCs w:val="24"/>
          <w:highlight w:val="yellow"/>
        </w:rPr>
        <w:t>by means of</w:t>
      </w:r>
      <w:r w:rsidRPr="007A78F6">
        <w:rPr>
          <w:rFonts w:ascii="Times New Roman" w:hAnsi="Times New Roman" w:cs="Times New Roman"/>
          <w:color w:val="000000" w:themeColor="text1"/>
          <w:sz w:val="24"/>
          <w:szCs w:val="24"/>
          <w:highlight w:val="yellow"/>
        </w:rPr>
        <w:t xml:space="preserve"> a Pact for R&amp;I in Europe. </w:t>
      </w:r>
    </w:p>
    <w:p w14:paraId="2FAF2D85" w14:textId="59FF62DD" w:rsidR="004D7B87" w:rsidRPr="006340BE" w:rsidRDefault="004D7B87" w:rsidP="000E2C91">
      <w:pPr>
        <w:pStyle w:val="Style1"/>
        <w:spacing w:before="240"/>
        <w:ind w:left="357" w:hanging="357"/>
        <w:rPr>
          <w:color w:val="000000" w:themeColor="text1"/>
        </w:rPr>
      </w:pPr>
      <w:bookmarkStart w:id="12" w:name="_Toc51534325"/>
      <w:r w:rsidRPr="006340BE">
        <w:rPr>
          <w:color w:val="000000" w:themeColor="text1"/>
        </w:rPr>
        <w:lastRenderedPageBreak/>
        <w:t>The geopolitical dimension of ERA</w:t>
      </w:r>
      <w:bookmarkEnd w:id="12"/>
    </w:p>
    <w:p w14:paraId="1B8A58B0" w14:textId="24A5E445" w:rsidR="004D7B87" w:rsidRPr="006340BE" w:rsidRDefault="00B77E8D" w:rsidP="00F74968">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 xml:space="preserve">International cooperation through ERA will take into account the EU external relations priorities </w:t>
      </w:r>
      <w:r w:rsidRPr="006340BE">
        <w:rPr>
          <w:rFonts w:ascii="Times New Roman" w:hAnsi="Times New Roman" w:cs="Times New Roman"/>
          <w:bCs/>
          <w:color w:val="000000" w:themeColor="text1"/>
          <w:sz w:val="24"/>
          <w:szCs w:val="24"/>
          <w:vertAlign w:val="superscript"/>
        </w:rPr>
        <w:footnoteReference w:id="56"/>
      </w:r>
      <w:r w:rsidRPr="006340BE">
        <w:rPr>
          <w:rFonts w:ascii="Times New Roman" w:hAnsi="Times New Roman" w:cs="Times New Roman"/>
          <w:bCs/>
          <w:color w:val="000000" w:themeColor="text1"/>
          <w:sz w:val="24"/>
          <w:szCs w:val="24"/>
        </w:rPr>
        <w:t xml:space="preserve"> </w:t>
      </w:r>
      <w:r w:rsidR="001A2B70" w:rsidRPr="002A330F">
        <w:rPr>
          <w:rFonts w:ascii="Times New Roman" w:hAnsi="Times New Roman" w:cs="Times New Roman"/>
          <w:bCs/>
          <w:color w:val="000000" w:themeColor="text1"/>
          <w:sz w:val="24"/>
          <w:szCs w:val="24"/>
          <w:lang w:val="en-IE"/>
        </w:rPr>
        <w:t>contributing</w:t>
      </w:r>
      <w:r w:rsidR="001A2B70" w:rsidRPr="000F7CF6">
        <w:rPr>
          <w:rFonts w:ascii="Times New Roman" w:hAnsi="Times New Roman"/>
          <w:color w:val="000000" w:themeColor="text1"/>
          <w:sz w:val="24"/>
          <w:lang w:val="en-IE"/>
        </w:rPr>
        <w:t xml:space="preserve"> to the Sustainable Development Goals </w:t>
      </w:r>
      <w:r w:rsidR="001A2B70" w:rsidRPr="002A330F">
        <w:rPr>
          <w:rFonts w:ascii="Times New Roman" w:hAnsi="Times New Roman" w:cs="Times New Roman"/>
          <w:bCs/>
          <w:color w:val="000000" w:themeColor="text1"/>
          <w:sz w:val="24"/>
          <w:szCs w:val="24"/>
          <w:lang w:val="en-IE"/>
        </w:rPr>
        <w:t>and</w:t>
      </w:r>
      <w:r w:rsidR="001A2B70" w:rsidRPr="00155F52">
        <w:rPr>
          <w:rFonts w:ascii="Times New Roman" w:hAnsi="Times New Roman"/>
          <w:color w:val="000000" w:themeColor="text1"/>
          <w:sz w:val="24"/>
          <w:lang w:val="en-IE"/>
        </w:rPr>
        <w:t xml:space="preserve"> </w:t>
      </w:r>
      <w:r w:rsidRPr="006340BE">
        <w:rPr>
          <w:rFonts w:ascii="Times New Roman" w:hAnsi="Times New Roman" w:cs="Times New Roman"/>
          <w:bCs/>
          <w:color w:val="000000" w:themeColor="text1"/>
          <w:sz w:val="24"/>
          <w:szCs w:val="24"/>
        </w:rPr>
        <w:t>and to the implementation of the Next Generation EU by supporting a Stronger Europe in the World. C</w:t>
      </w:r>
      <w:r w:rsidR="00920398" w:rsidRPr="006340BE">
        <w:rPr>
          <w:rFonts w:ascii="Times New Roman" w:hAnsi="Times New Roman" w:cs="Times New Roman"/>
          <w:bCs/>
          <w:color w:val="000000" w:themeColor="text1"/>
          <w:sz w:val="24"/>
          <w:szCs w:val="24"/>
        </w:rPr>
        <w:t xml:space="preserve">ooperation will </w:t>
      </w:r>
      <w:r w:rsidR="004D7B87" w:rsidRPr="006340BE">
        <w:rPr>
          <w:rFonts w:ascii="Times New Roman" w:hAnsi="Times New Roman" w:cs="Times New Roman"/>
          <w:bCs/>
          <w:color w:val="000000" w:themeColor="text1"/>
          <w:sz w:val="24"/>
          <w:szCs w:val="24"/>
        </w:rPr>
        <w:t xml:space="preserve">be based on multilateralism, reciprocity and purposeful openness, combined with strategically targeted actions </w:t>
      </w:r>
      <w:r w:rsidR="00920398" w:rsidRPr="006340BE">
        <w:rPr>
          <w:rFonts w:ascii="Times New Roman" w:hAnsi="Times New Roman" w:cs="Times New Roman"/>
          <w:bCs/>
          <w:color w:val="000000" w:themeColor="text1"/>
          <w:sz w:val="24"/>
          <w:szCs w:val="24"/>
        </w:rPr>
        <w:t>with partners</w:t>
      </w:r>
      <w:r w:rsidR="00920398" w:rsidRPr="006340BE" w:rsidDel="00920398">
        <w:rPr>
          <w:rFonts w:ascii="Times New Roman" w:hAnsi="Times New Roman" w:cs="Times New Roman"/>
          <w:bCs/>
          <w:color w:val="000000" w:themeColor="text1"/>
          <w:sz w:val="24"/>
          <w:szCs w:val="24"/>
        </w:rPr>
        <w:t xml:space="preserve"> </w:t>
      </w:r>
      <w:r w:rsidR="004D7B87" w:rsidRPr="006340BE">
        <w:rPr>
          <w:rFonts w:ascii="Times New Roman" w:hAnsi="Times New Roman" w:cs="Times New Roman"/>
          <w:bCs/>
          <w:color w:val="000000" w:themeColor="text1"/>
          <w:sz w:val="24"/>
          <w:szCs w:val="24"/>
        </w:rPr>
        <w:t xml:space="preserve">on the Green Deal, health and the digital transition. </w:t>
      </w:r>
      <w:r w:rsidR="00E54325" w:rsidRPr="006340BE">
        <w:rPr>
          <w:rFonts w:ascii="Times New Roman" w:hAnsi="Times New Roman" w:cs="Times New Roman"/>
          <w:bCs/>
          <w:color w:val="000000" w:themeColor="text1"/>
          <w:sz w:val="24"/>
          <w:szCs w:val="24"/>
        </w:rPr>
        <w:t>In line with the model of open strategic autonomy, i</w:t>
      </w:r>
      <w:r w:rsidR="00920398" w:rsidRPr="006340BE">
        <w:rPr>
          <w:rFonts w:ascii="Times New Roman" w:hAnsi="Times New Roman" w:cs="Times New Roman"/>
          <w:bCs/>
          <w:color w:val="000000" w:themeColor="text1"/>
          <w:sz w:val="24"/>
          <w:szCs w:val="24"/>
        </w:rPr>
        <w:t xml:space="preserve">t will </w:t>
      </w:r>
      <w:r w:rsidR="004D7B87" w:rsidRPr="006340BE">
        <w:rPr>
          <w:rFonts w:ascii="Times New Roman" w:hAnsi="Times New Roman" w:cs="Times New Roman"/>
          <w:bCs/>
          <w:color w:val="000000" w:themeColor="text1"/>
          <w:sz w:val="24"/>
          <w:szCs w:val="24"/>
        </w:rPr>
        <w:t>protect</w:t>
      </w:r>
      <w:r w:rsidR="001A2B70">
        <w:rPr>
          <w:rFonts w:ascii="Times New Roman" w:hAnsi="Times New Roman" w:cs="Times New Roman"/>
          <w:bCs/>
          <w:color w:val="000000" w:themeColor="text1"/>
          <w:sz w:val="24"/>
          <w:szCs w:val="24"/>
        </w:rPr>
        <w:t xml:space="preserve"> and promote</w:t>
      </w:r>
      <w:r w:rsidR="004D7B87" w:rsidRPr="006340BE">
        <w:rPr>
          <w:rFonts w:ascii="Times New Roman" w:hAnsi="Times New Roman" w:cs="Times New Roman"/>
          <w:bCs/>
          <w:color w:val="000000" w:themeColor="text1"/>
          <w:sz w:val="24"/>
          <w:szCs w:val="24"/>
        </w:rPr>
        <w:t xml:space="preserve"> EU vital interests and sovereignty in strategic technology areas and critical infrastructures based on common values and </w:t>
      </w:r>
      <w:r w:rsidR="001A2B70">
        <w:rPr>
          <w:rFonts w:ascii="Times New Roman" w:hAnsi="Times New Roman" w:cs="Times New Roman"/>
          <w:bCs/>
          <w:color w:val="000000" w:themeColor="text1"/>
          <w:sz w:val="24"/>
          <w:szCs w:val="24"/>
        </w:rPr>
        <w:t>supporting</w:t>
      </w:r>
      <w:r w:rsidR="001A2B70" w:rsidRPr="006340BE">
        <w:rPr>
          <w:rFonts w:ascii="Times New Roman" w:hAnsi="Times New Roman" w:cs="Times New Roman"/>
          <w:bCs/>
          <w:color w:val="000000" w:themeColor="text1"/>
          <w:sz w:val="24"/>
          <w:szCs w:val="24"/>
        </w:rPr>
        <w:t xml:space="preserve"> </w:t>
      </w:r>
      <w:r w:rsidR="004D7B87" w:rsidRPr="006340BE">
        <w:rPr>
          <w:rFonts w:ascii="Times New Roman" w:hAnsi="Times New Roman" w:cs="Times New Roman"/>
          <w:bCs/>
          <w:color w:val="000000" w:themeColor="text1"/>
          <w:sz w:val="24"/>
          <w:szCs w:val="24"/>
        </w:rPr>
        <w:t xml:space="preserve">a global level playing field. </w:t>
      </w:r>
    </w:p>
    <w:p w14:paraId="25791D9F" w14:textId="3EF40E18" w:rsidR="004D7B87" w:rsidRPr="006340BE" w:rsidRDefault="004D7B87" w:rsidP="00F74968">
      <w:pPr>
        <w:spacing w:before="120" w:after="0" w:line="240" w:lineRule="auto"/>
        <w:jc w:val="both"/>
        <w:rPr>
          <w:rFonts w:ascii="Times New Roman" w:hAnsi="Times New Roman" w:cs="Times New Roman"/>
          <w:bCs/>
          <w:color w:val="000000" w:themeColor="text1"/>
          <w:sz w:val="24"/>
          <w:szCs w:val="24"/>
        </w:rPr>
      </w:pPr>
      <w:r w:rsidRPr="006340BE">
        <w:rPr>
          <w:rFonts w:ascii="Times New Roman" w:hAnsi="Times New Roman" w:cs="Times New Roman"/>
          <w:bCs/>
          <w:color w:val="000000" w:themeColor="text1"/>
          <w:sz w:val="24"/>
          <w:szCs w:val="24"/>
        </w:rPr>
        <w:t xml:space="preserve">Association to the </w:t>
      </w:r>
      <w:r w:rsidRPr="004D1A7E">
        <w:rPr>
          <w:rFonts w:ascii="Times New Roman" w:hAnsi="Times New Roman" w:cs="Times New Roman"/>
          <w:bCs/>
          <w:color w:val="000000" w:themeColor="text1"/>
          <w:sz w:val="24"/>
          <w:szCs w:val="24"/>
          <w:highlight w:val="yellow"/>
        </w:rPr>
        <w:t>EU Framework Programmes is the strongest form of international cooperation</w:t>
      </w:r>
      <w:r w:rsidR="00B77E8D" w:rsidRPr="004D1A7E">
        <w:rPr>
          <w:rFonts w:ascii="Times New Roman" w:hAnsi="Times New Roman" w:cs="Times New Roman"/>
          <w:bCs/>
          <w:color w:val="000000" w:themeColor="text1"/>
          <w:sz w:val="24"/>
          <w:szCs w:val="24"/>
          <w:highlight w:val="yellow"/>
        </w:rPr>
        <w:t xml:space="preserve"> in the field of </w:t>
      </w:r>
      <w:proofErr w:type="gramStart"/>
      <w:r w:rsidR="00B77E8D" w:rsidRPr="004D1A7E">
        <w:rPr>
          <w:rFonts w:ascii="Times New Roman" w:hAnsi="Times New Roman" w:cs="Times New Roman"/>
          <w:bCs/>
          <w:color w:val="000000" w:themeColor="text1"/>
          <w:sz w:val="24"/>
          <w:szCs w:val="24"/>
          <w:highlight w:val="yellow"/>
        </w:rPr>
        <w:t>R&amp;I</w:t>
      </w:r>
      <w:proofErr w:type="gramEnd"/>
      <w:r w:rsidRPr="004D1A7E">
        <w:rPr>
          <w:rFonts w:ascii="Times New Roman" w:hAnsi="Times New Roman" w:cs="Times New Roman"/>
          <w:bCs/>
          <w:color w:val="000000" w:themeColor="text1"/>
          <w:sz w:val="24"/>
          <w:szCs w:val="24"/>
          <w:highlight w:val="yellow"/>
        </w:rPr>
        <w:t>.</w:t>
      </w:r>
      <w:r w:rsidRPr="006340BE">
        <w:rPr>
          <w:rFonts w:ascii="Times New Roman" w:hAnsi="Times New Roman" w:cs="Times New Roman"/>
          <w:bCs/>
          <w:color w:val="000000" w:themeColor="text1"/>
          <w:sz w:val="24"/>
          <w:szCs w:val="24"/>
        </w:rPr>
        <w:t xml:space="preserve"> The Associated Countries are an integral part of </w:t>
      </w:r>
      <w:r w:rsidR="00B77E8D" w:rsidRPr="006340BE">
        <w:rPr>
          <w:rFonts w:ascii="Times New Roman" w:hAnsi="Times New Roman" w:cs="Times New Roman"/>
          <w:bCs/>
          <w:color w:val="000000" w:themeColor="text1"/>
          <w:sz w:val="24"/>
          <w:szCs w:val="24"/>
        </w:rPr>
        <w:t xml:space="preserve">the </w:t>
      </w:r>
      <w:r w:rsidRPr="006340BE">
        <w:rPr>
          <w:rFonts w:ascii="Times New Roman" w:hAnsi="Times New Roman" w:cs="Times New Roman"/>
          <w:bCs/>
          <w:color w:val="000000" w:themeColor="text1"/>
          <w:sz w:val="24"/>
          <w:szCs w:val="24"/>
        </w:rPr>
        <w:t xml:space="preserve">ERA and are already contributing to its goals. </w:t>
      </w:r>
      <w:r w:rsidR="001A2B70" w:rsidRPr="000F7CF6">
        <w:rPr>
          <w:rFonts w:ascii="Times New Roman" w:hAnsi="Times New Roman"/>
          <w:color w:val="000000" w:themeColor="text1"/>
          <w:sz w:val="24"/>
          <w:lang w:val="en-IE"/>
        </w:rPr>
        <w:t>Creating partnerships globally, in order to enhance knowledge sharing and skills as well as research and innovation capacities</w:t>
      </w:r>
      <w:r w:rsidR="001A2B70" w:rsidRPr="002A330F">
        <w:rPr>
          <w:rFonts w:ascii="Times New Roman" w:hAnsi="Times New Roman" w:cs="Times New Roman"/>
          <w:bCs/>
          <w:color w:val="000000" w:themeColor="text1"/>
          <w:sz w:val="24"/>
          <w:szCs w:val="24"/>
          <w:lang w:val="en-IE"/>
        </w:rPr>
        <w:t>,</w:t>
      </w:r>
      <w:r w:rsidR="001A2B70" w:rsidRPr="000F7CF6">
        <w:rPr>
          <w:rFonts w:ascii="Times New Roman" w:hAnsi="Times New Roman"/>
          <w:color w:val="000000" w:themeColor="text1"/>
          <w:sz w:val="24"/>
          <w:lang w:val="en-IE"/>
        </w:rPr>
        <w:t xml:space="preserve"> without accelerating brain drain</w:t>
      </w:r>
      <w:r w:rsidR="001A2B70">
        <w:rPr>
          <w:rFonts w:ascii="Times New Roman" w:hAnsi="Times New Roman"/>
          <w:color w:val="000000" w:themeColor="text1"/>
          <w:sz w:val="24"/>
          <w:lang w:val="en-IE"/>
        </w:rPr>
        <w:t>,</w:t>
      </w:r>
      <w:r w:rsidR="001A2B70" w:rsidRPr="000F7CF6">
        <w:rPr>
          <w:rFonts w:ascii="Times New Roman" w:hAnsi="Times New Roman"/>
          <w:color w:val="000000" w:themeColor="text1"/>
          <w:sz w:val="24"/>
          <w:lang w:val="en-IE"/>
        </w:rPr>
        <w:t xml:space="preserve"> will be key, particularly for the benefit of </w:t>
      </w:r>
      <w:r w:rsidR="001A2B70" w:rsidRPr="002A330F">
        <w:rPr>
          <w:rFonts w:ascii="Times New Roman" w:hAnsi="Times New Roman" w:cs="Times New Roman"/>
          <w:bCs/>
          <w:color w:val="000000" w:themeColor="text1"/>
          <w:sz w:val="24"/>
          <w:szCs w:val="24"/>
          <w:lang w:val="en-IE"/>
        </w:rPr>
        <w:t>young people</w:t>
      </w:r>
      <w:r w:rsidR="001A2B70" w:rsidRPr="000F7CF6">
        <w:rPr>
          <w:rFonts w:ascii="Times New Roman" w:hAnsi="Times New Roman"/>
          <w:color w:val="000000" w:themeColor="text1"/>
          <w:sz w:val="24"/>
          <w:lang w:val="en-IE"/>
        </w:rPr>
        <w:t>.</w:t>
      </w:r>
      <w:r w:rsidR="001A2B70">
        <w:rPr>
          <w:rFonts w:ascii="Times New Roman" w:hAnsi="Times New Roman"/>
          <w:color w:val="000000" w:themeColor="text1"/>
          <w:sz w:val="24"/>
          <w:lang w:val="en-IE"/>
        </w:rPr>
        <w:t xml:space="preserve"> </w:t>
      </w:r>
      <w:r w:rsidRPr="006340BE">
        <w:rPr>
          <w:rFonts w:ascii="Times New Roman" w:hAnsi="Times New Roman" w:cs="Times New Roman"/>
          <w:bCs/>
          <w:color w:val="000000" w:themeColor="text1"/>
          <w:sz w:val="24"/>
          <w:szCs w:val="24"/>
        </w:rPr>
        <w:t>The</w:t>
      </w:r>
      <w:r w:rsidR="00FC721F">
        <w:rPr>
          <w:rFonts w:ascii="Times New Roman" w:hAnsi="Times New Roman" w:cs="Times New Roman"/>
          <w:bCs/>
          <w:color w:val="000000" w:themeColor="text1"/>
          <w:sz w:val="24"/>
          <w:szCs w:val="24"/>
        </w:rPr>
        <w:t xml:space="preserve"> European Neighbourhood </w:t>
      </w:r>
      <w:r w:rsidRPr="006340BE">
        <w:rPr>
          <w:rFonts w:ascii="Times New Roman" w:hAnsi="Times New Roman" w:cs="Times New Roman"/>
          <w:bCs/>
          <w:color w:val="000000" w:themeColor="text1"/>
          <w:sz w:val="24"/>
          <w:szCs w:val="24"/>
        </w:rPr>
        <w:t>deserve</w:t>
      </w:r>
      <w:r w:rsidR="00FC721F">
        <w:rPr>
          <w:rFonts w:ascii="Times New Roman" w:hAnsi="Times New Roman" w:cs="Times New Roman"/>
          <w:bCs/>
          <w:color w:val="000000" w:themeColor="text1"/>
          <w:sz w:val="24"/>
          <w:szCs w:val="24"/>
        </w:rPr>
        <w:t>s</w:t>
      </w:r>
      <w:r w:rsidRPr="006340BE">
        <w:rPr>
          <w:rFonts w:ascii="Times New Roman" w:hAnsi="Times New Roman" w:cs="Times New Roman"/>
          <w:bCs/>
          <w:color w:val="000000" w:themeColor="text1"/>
          <w:sz w:val="24"/>
          <w:szCs w:val="24"/>
        </w:rPr>
        <w:t xml:space="preserve"> specific attention. </w:t>
      </w:r>
      <w:r w:rsidR="000E2C91" w:rsidRPr="006340BE">
        <w:rPr>
          <w:rFonts w:ascii="Times New Roman" w:hAnsi="Times New Roman" w:cs="Times New Roman"/>
          <w:bCs/>
          <w:color w:val="000000" w:themeColor="text1"/>
          <w:sz w:val="24"/>
          <w:szCs w:val="24"/>
        </w:rPr>
        <w:t xml:space="preserve">Some </w:t>
      </w:r>
      <w:r w:rsidR="00FC721F">
        <w:rPr>
          <w:rFonts w:ascii="Times New Roman" w:hAnsi="Times New Roman" w:cs="Times New Roman"/>
          <w:bCs/>
          <w:color w:val="000000" w:themeColor="text1"/>
          <w:sz w:val="24"/>
          <w:szCs w:val="24"/>
        </w:rPr>
        <w:t xml:space="preserve">of the Western Balkan countries are </w:t>
      </w:r>
      <w:r w:rsidR="000E2C91" w:rsidRPr="006340BE">
        <w:rPr>
          <w:rFonts w:ascii="Times New Roman" w:hAnsi="Times New Roman" w:cs="Times New Roman"/>
          <w:bCs/>
          <w:color w:val="000000" w:themeColor="text1"/>
          <w:sz w:val="24"/>
          <w:szCs w:val="24"/>
        </w:rPr>
        <w:t>already part of the ERA, while for others, i</w:t>
      </w:r>
      <w:r w:rsidRPr="006340BE">
        <w:rPr>
          <w:rFonts w:ascii="Times New Roman" w:hAnsi="Times New Roman" w:cs="Times New Roman"/>
          <w:bCs/>
          <w:color w:val="000000" w:themeColor="text1"/>
          <w:sz w:val="24"/>
          <w:szCs w:val="24"/>
        </w:rPr>
        <w:t xml:space="preserve">ntegration in ERA will help them transition towards a </w:t>
      </w:r>
      <w:proofErr w:type="spellStart"/>
      <w:r w:rsidRPr="006340BE">
        <w:rPr>
          <w:rFonts w:ascii="Times New Roman" w:hAnsi="Times New Roman" w:cs="Times New Roman"/>
          <w:bCs/>
          <w:color w:val="000000" w:themeColor="text1"/>
          <w:sz w:val="24"/>
          <w:szCs w:val="24"/>
        </w:rPr>
        <w:t>performant</w:t>
      </w:r>
      <w:proofErr w:type="spellEnd"/>
      <w:r w:rsidRPr="006340BE">
        <w:rPr>
          <w:rFonts w:ascii="Times New Roman" w:hAnsi="Times New Roman" w:cs="Times New Roman"/>
          <w:bCs/>
          <w:color w:val="000000" w:themeColor="text1"/>
          <w:sz w:val="24"/>
          <w:szCs w:val="24"/>
        </w:rPr>
        <w:t xml:space="preserve"> R&amp;I system, paving the way to their accession to the EU.</w:t>
      </w:r>
      <w:r w:rsidR="00920398" w:rsidRPr="006340BE">
        <w:rPr>
          <w:rFonts w:ascii="Times New Roman" w:hAnsi="Times New Roman" w:cs="Times New Roman"/>
          <w:bCs/>
          <w:color w:val="000000" w:themeColor="text1"/>
          <w:sz w:val="24"/>
          <w:szCs w:val="24"/>
        </w:rPr>
        <w:t xml:space="preserve"> </w:t>
      </w:r>
      <w:r w:rsidRPr="006340BE">
        <w:rPr>
          <w:rFonts w:ascii="Times New Roman" w:hAnsi="Times New Roman" w:cs="Times New Roman"/>
          <w:bCs/>
          <w:color w:val="000000" w:themeColor="text1"/>
          <w:sz w:val="24"/>
          <w:szCs w:val="24"/>
        </w:rPr>
        <w:t>For the Horizon Europe programme the Commission has proposed to broaden the possibility for association towards countries sharing common values, also beyond the EU’s geographical proximity.</w:t>
      </w:r>
    </w:p>
    <w:p w14:paraId="327233C1" w14:textId="77777777" w:rsidR="007D2C26" w:rsidRPr="006340BE" w:rsidRDefault="007D2C26" w:rsidP="000E2C91">
      <w:pPr>
        <w:pStyle w:val="Style1"/>
        <w:spacing w:before="240"/>
        <w:ind w:left="357" w:hanging="357"/>
        <w:rPr>
          <w:color w:val="000000" w:themeColor="text1"/>
        </w:rPr>
      </w:pPr>
      <w:bookmarkStart w:id="13" w:name="_Toc51534326"/>
      <w:r w:rsidRPr="006340BE">
        <w:rPr>
          <w:color w:val="000000" w:themeColor="text1"/>
        </w:rPr>
        <w:t>Conclusion</w:t>
      </w:r>
      <w:bookmarkEnd w:id="13"/>
      <w:r w:rsidR="00573C36" w:rsidRPr="006340BE">
        <w:rPr>
          <w:color w:val="000000" w:themeColor="text1"/>
        </w:rPr>
        <w:t xml:space="preserve"> </w:t>
      </w:r>
    </w:p>
    <w:p w14:paraId="62384888" w14:textId="474BFDA8" w:rsidR="00B77CF4" w:rsidRPr="006340BE" w:rsidRDefault="00920398"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Europe </w:t>
      </w:r>
      <w:r w:rsidR="00E82C7C" w:rsidRPr="006340BE">
        <w:rPr>
          <w:rFonts w:ascii="Times New Roman" w:hAnsi="Times New Roman" w:cs="Times New Roman"/>
          <w:color w:val="000000" w:themeColor="text1"/>
          <w:sz w:val="24"/>
          <w:szCs w:val="24"/>
        </w:rPr>
        <w:t xml:space="preserve">has responded to the tremendous challenges it </w:t>
      </w:r>
      <w:r w:rsidRPr="006340BE">
        <w:rPr>
          <w:rFonts w:ascii="Times New Roman" w:hAnsi="Times New Roman" w:cs="Times New Roman"/>
          <w:color w:val="000000" w:themeColor="text1"/>
          <w:sz w:val="24"/>
          <w:szCs w:val="24"/>
        </w:rPr>
        <w:t xml:space="preserve">faces </w:t>
      </w:r>
      <w:r w:rsidR="00E82C7C" w:rsidRPr="006340BE">
        <w:rPr>
          <w:rFonts w:ascii="Times New Roman" w:hAnsi="Times New Roman" w:cs="Times New Roman"/>
          <w:color w:val="000000" w:themeColor="text1"/>
          <w:sz w:val="24"/>
          <w:szCs w:val="24"/>
        </w:rPr>
        <w:t>by setting itself ambitious goals</w:t>
      </w:r>
      <w:r w:rsidRPr="006340BE">
        <w:rPr>
          <w:rFonts w:ascii="Times New Roman" w:hAnsi="Times New Roman" w:cs="Times New Roman"/>
          <w:color w:val="000000" w:themeColor="text1"/>
          <w:sz w:val="24"/>
          <w:szCs w:val="24"/>
        </w:rPr>
        <w:t xml:space="preserve">. </w:t>
      </w:r>
      <w:r w:rsidR="00B77CF4" w:rsidRPr="006340BE">
        <w:rPr>
          <w:rFonts w:ascii="Times New Roman" w:hAnsi="Times New Roman" w:cs="Times New Roman"/>
          <w:color w:val="000000" w:themeColor="text1"/>
          <w:sz w:val="24"/>
          <w:szCs w:val="24"/>
        </w:rPr>
        <w:t>The Commission, Member States and R&amp;I stakeholders have an important role</w:t>
      </w:r>
      <w:r w:rsidR="008510F5" w:rsidRPr="006340BE">
        <w:rPr>
          <w:rFonts w:ascii="Times New Roman" w:hAnsi="Times New Roman" w:cs="Times New Roman"/>
          <w:color w:val="000000" w:themeColor="text1"/>
          <w:sz w:val="24"/>
          <w:szCs w:val="24"/>
        </w:rPr>
        <w:t xml:space="preserve"> to play</w:t>
      </w:r>
      <w:r w:rsidR="00B77CF4" w:rsidRPr="006340BE">
        <w:rPr>
          <w:rFonts w:ascii="Times New Roman" w:hAnsi="Times New Roman" w:cs="Times New Roman"/>
          <w:color w:val="000000" w:themeColor="text1"/>
          <w:sz w:val="24"/>
          <w:szCs w:val="24"/>
        </w:rPr>
        <w:t xml:space="preserve"> at this crucial moment to ensure a recovery</w:t>
      </w:r>
      <w:r w:rsidR="00E82C7C" w:rsidRPr="006340BE">
        <w:rPr>
          <w:rFonts w:ascii="Times New Roman" w:hAnsi="Times New Roman" w:cs="Times New Roman"/>
          <w:color w:val="000000" w:themeColor="text1"/>
          <w:sz w:val="24"/>
          <w:szCs w:val="24"/>
        </w:rPr>
        <w:t xml:space="preserve"> that</w:t>
      </w:r>
      <w:r w:rsidR="00B77CF4" w:rsidRPr="006340BE">
        <w:rPr>
          <w:rFonts w:ascii="Times New Roman" w:hAnsi="Times New Roman" w:cs="Times New Roman"/>
          <w:color w:val="000000" w:themeColor="text1"/>
          <w:sz w:val="24"/>
          <w:szCs w:val="24"/>
        </w:rPr>
        <w:t xml:space="preserve"> respond</w:t>
      </w:r>
      <w:r w:rsidR="00E82C7C" w:rsidRPr="006340BE">
        <w:rPr>
          <w:rFonts w:ascii="Times New Roman" w:hAnsi="Times New Roman" w:cs="Times New Roman"/>
          <w:color w:val="000000" w:themeColor="text1"/>
          <w:sz w:val="24"/>
          <w:szCs w:val="24"/>
        </w:rPr>
        <w:t xml:space="preserve">s </w:t>
      </w:r>
      <w:r w:rsidR="00B77CF4" w:rsidRPr="006340BE">
        <w:rPr>
          <w:rFonts w:ascii="Times New Roman" w:hAnsi="Times New Roman" w:cs="Times New Roman"/>
          <w:color w:val="000000" w:themeColor="text1"/>
          <w:sz w:val="24"/>
          <w:szCs w:val="24"/>
        </w:rPr>
        <w:t xml:space="preserve">to people’s needs. </w:t>
      </w:r>
      <w:r w:rsidR="00E82C7C" w:rsidRPr="006340BE">
        <w:rPr>
          <w:rFonts w:ascii="Times New Roman" w:hAnsi="Times New Roman" w:cs="Times New Roman"/>
          <w:color w:val="000000" w:themeColor="text1"/>
          <w:sz w:val="24"/>
          <w:szCs w:val="24"/>
        </w:rPr>
        <w:t xml:space="preserve">Building </w:t>
      </w:r>
      <w:r w:rsidR="00B77CF4" w:rsidRPr="006340BE">
        <w:rPr>
          <w:rFonts w:ascii="Times New Roman" w:hAnsi="Times New Roman" w:cs="Times New Roman"/>
          <w:color w:val="000000" w:themeColor="text1"/>
          <w:sz w:val="24"/>
          <w:szCs w:val="24"/>
        </w:rPr>
        <w:t>European resilience</w:t>
      </w:r>
      <w:r w:rsidR="00263AA9" w:rsidRPr="006340BE">
        <w:rPr>
          <w:rFonts w:ascii="Times New Roman" w:hAnsi="Times New Roman" w:cs="Times New Roman"/>
          <w:color w:val="000000" w:themeColor="text1"/>
          <w:sz w:val="24"/>
          <w:szCs w:val="24"/>
        </w:rPr>
        <w:t xml:space="preserve"> based on a</w:t>
      </w:r>
      <w:r w:rsidR="00B77CF4" w:rsidRPr="006340BE">
        <w:rPr>
          <w:rFonts w:ascii="Times New Roman" w:hAnsi="Times New Roman" w:cs="Times New Roman"/>
          <w:color w:val="000000" w:themeColor="text1"/>
          <w:sz w:val="24"/>
          <w:szCs w:val="24"/>
        </w:rPr>
        <w:t xml:space="preserve"> greener</w:t>
      </w:r>
      <w:r w:rsidR="00263AA9" w:rsidRPr="006340BE">
        <w:rPr>
          <w:rFonts w:ascii="Times New Roman" w:hAnsi="Times New Roman" w:cs="Times New Roman"/>
          <w:color w:val="000000" w:themeColor="text1"/>
          <w:sz w:val="24"/>
          <w:szCs w:val="24"/>
        </w:rPr>
        <w:t>, digitally empowered, competitive</w:t>
      </w:r>
      <w:r w:rsidR="00B77CF4" w:rsidRPr="006340BE">
        <w:rPr>
          <w:rFonts w:ascii="Times New Roman" w:hAnsi="Times New Roman" w:cs="Times New Roman"/>
          <w:color w:val="000000" w:themeColor="text1"/>
          <w:sz w:val="24"/>
          <w:szCs w:val="24"/>
        </w:rPr>
        <w:t xml:space="preserve"> and more sustainable Union</w:t>
      </w:r>
      <w:r w:rsidR="00E82C7C" w:rsidRPr="006340BE">
        <w:rPr>
          <w:rFonts w:ascii="Times New Roman" w:hAnsi="Times New Roman" w:cs="Times New Roman"/>
          <w:color w:val="000000" w:themeColor="text1"/>
          <w:sz w:val="24"/>
          <w:szCs w:val="24"/>
        </w:rPr>
        <w:t>,</w:t>
      </w:r>
      <w:r w:rsidR="00263AA9" w:rsidRPr="006340BE">
        <w:rPr>
          <w:rFonts w:ascii="Times New Roman" w:hAnsi="Times New Roman" w:cs="Times New Roman"/>
          <w:color w:val="000000" w:themeColor="text1"/>
          <w:sz w:val="24"/>
          <w:szCs w:val="24"/>
        </w:rPr>
        <w:t xml:space="preserve"> </w:t>
      </w:r>
      <w:r w:rsidRPr="006340BE">
        <w:rPr>
          <w:rFonts w:ascii="Times New Roman" w:hAnsi="Times New Roman" w:cs="Times New Roman"/>
          <w:color w:val="000000" w:themeColor="text1"/>
          <w:sz w:val="24"/>
          <w:szCs w:val="24"/>
        </w:rPr>
        <w:t>require</w:t>
      </w:r>
      <w:r w:rsidR="00E82C7C" w:rsidRPr="006340BE">
        <w:rPr>
          <w:rFonts w:ascii="Times New Roman" w:hAnsi="Times New Roman" w:cs="Times New Roman"/>
          <w:color w:val="000000" w:themeColor="text1"/>
          <w:sz w:val="24"/>
          <w:szCs w:val="24"/>
        </w:rPr>
        <w:t>s</w:t>
      </w:r>
      <w:r w:rsidRPr="006340BE">
        <w:rPr>
          <w:rFonts w:ascii="Times New Roman" w:hAnsi="Times New Roman" w:cs="Times New Roman"/>
          <w:color w:val="000000" w:themeColor="text1"/>
          <w:sz w:val="24"/>
          <w:szCs w:val="24"/>
        </w:rPr>
        <w:t xml:space="preserve"> joint efforts and global leadership in science and innovation</w:t>
      </w:r>
      <w:r w:rsidR="00A57C3E" w:rsidRPr="006340BE">
        <w:rPr>
          <w:rFonts w:ascii="Times New Roman" w:hAnsi="Times New Roman" w:cs="Times New Roman"/>
          <w:color w:val="000000" w:themeColor="text1"/>
          <w:sz w:val="24"/>
          <w:szCs w:val="24"/>
        </w:rPr>
        <w:t>, as well as engaging and empowering citizens</w:t>
      </w:r>
      <w:r w:rsidR="00B77CF4" w:rsidRPr="006340BE">
        <w:rPr>
          <w:rFonts w:ascii="Times New Roman" w:hAnsi="Times New Roman" w:cs="Times New Roman"/>
          <w:color w:val="000000" w:themeColor="text1"/>
          <w:sz w:val="24"/>
          <w:szCs w:val="24"/>
        </w:rPr>
        <w:t>.</w:t>
      </w:r>
    </w:p>
    <w:p w14:paraId="176950BD" w14:textId="131D6E20" w:rsidR="00E82C7C" w:rsidRPr="006340BE" w:rsidRDefault="00E82C7C"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A new, deeper and broader European Research Area will </w:t>
      </w:r>
      <w:r w:rsidR="00A57C3E" w:rsidRPr="006340BE">
        <w:rPr>
          <w:rFonts w:ascii="Times New Roman" w:hAnsi="Times New Roman" w:cs="Times New Roman"/>
          <w:color w:val="000000" w:themeColor="text1"/>
          <w:sz w:val="24"/>
          <w:szCs w:val="24"/>
        </w:rPr>
        <w:t>work with Member States</w:t>
      </w:r>
      <w:r w:rsidR="00B77E8D" w:rsidRPr="006340BE">
        <w:rPr>
          <w:rFonts w:ascii="Times New Roman" w:hAnsi="Times New Roman" w:cs="Times New Roman"/>
          <w:color w:val="000000" w:themeColor="text1"/>
          <w:sz w:val="24"/>
          <w:szCs w:val="24"/>
        </w:rPr>
        <w:t xml:space="preserve"> to achieve the </w:t>
      </w:r>
      <w:r w:rsidRPr="006340BE">
        <w:rPr>
          <w:rFonts w:ascii="Times New Roman" w:hAnsi="Times New Roman" w:cs="Times New Roman"/>
          <w:color w:val="000000" w:themeColor="text1"/>
          <w:sz w:val="24"/>
          <w:szCs w:val="24"/>
        </w:rPr>
        <w:t>four key strategic objectives</w:t>
      </w:r>
      <w:r w:rsidR="00CA1B4C">
        <w:rPr>
          <w:rFonts w:ascii="Times New Roman" w:hAnsi="Times New Roman" w:cs="Times New Roman"/>
          <w:color w:val="000000" w:themeColor="text1"/>
          <w:sz w:val="24"/>
          <w:szCs w:val="24"/>
        </w:rPr>
        <w:t>:</w:t>
      </w:r>
      <w:r w:rsidRPr="006340BE">
        <w:rPr>
          <w:rFonts w:ascii="Times New Roman" w:hAnsi="Times New Roman" w:cs="Times New Roman"/>
          <w:color w:val="000000" w:themeColor="text1"/>
          <w:sz w:val="24"/>
          <w:szCs w:val="24"/>
        </w:rPr>
        <w:t xml:space="preserve"> prioritising investments in R&amp;I, improving access to excellence, translating R&amp;I results into the economy and deepening policies that promote the free circulation of knowledge.</w:t>
      </w:r>
      <w:r w:rsidR="0081737C" w:rsidRPr="006340BE">
        <w:rPr>
          <w:rFonts w:ascii="Times New Roman" w:hAnsi="Times New Roman" w:cs="Times New Roman"/>
          <w:color w:val="000000" w:themeColor="text1"/>
          <w:sz w:val="24"/>
          <w:szCs w:val="24"/>
        </w:rPr>
        <w:t xml:space="preserve"> </w:t>
      </w:r>
    </w:p>
    <w:p w14:paraId="13B837C4" w14:textId="6BAF8DA4" w:rsidR="00A57C3E" w:rsidRPr="006340BE" w:rsidRDefault="00A57C3E"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 xml:space="preserve">Furthermore, the European Research Area and the European Education Area will work together to achieve a new level of ambition in which education, research and innovation are steered in the same direction to underpin knowledge as a foundation for democratic, resilient and </w:t>
      </w:r>
      <w:r w:rsidR="0084023F">
        <w:rPr>
          <w:rFonts w:ascii="Times New Roman" w:hAnsi="Times New Roman" w:cs="Times New Roman"/>
          <w:color w:val="000000" w:themeColor="text1"/>
          <w:sz w:val="24"/>
          <w:szCs w:val="24"/>
        </w:rPr>
        <w:t>inclusive</w:t>
      </w:r>
      <w:r w:rsidR="0084023F" w:rsidRPr="006340BE">
        <w:rPr>
          <w:rFonts w:ascii="Times New Roman" w:hAnsi="Times New Roman" w:cs="Times New Roman"/>
          <w:color w:val="000000" w:themeColor="text1"/>
          <w:sz w:val="24"/>
          <w:szCs w:val="24"/>
        </w:rPr>
        <w:t xml:space="preserve"> </w:t>
      </w:r>
      <w:r w:rsidRPr="006340BE">
        <w:rPr>
          <w:rFonts w:ascii="Times New Roman" w:hAnsi="Times New Roman" w:cs="Times New Roman"/>
          <w:color w:val="000000" w:themeColor="text1"/>
          <w:sz w:val="24"/>
          <w:szCs w:val="24"/>
        </w:rPr>
        <w:t>societies. This is essential if Europe is to remain globally competitive and innovative while, at the same time, true to its common values in creating a more equitable and sustainable world.</w:t>
      </w:r>
    </w:p>
    <w:p w14:paraId="25E9D3C4" w14:textId="10DDE523" w:rsidR="00A57C3E" w:rsidRPr="006340BE" w:rsidRDefault="00A57C3E" w:rsidP="00F74968">
      <w:pPr>
        <w:spacing w:before="120" w:after="0" w:line="240" w:lineRule="auto"/>
        <w:jc w:val="both"/>
        <w:rPr>
          <w:rFonts w:ascii="Times New Roman" w:hAnsi="Times New Roman" w:cs="Times New Roman"/>
          <w:color w:val="000000" w:themeColor="text1"/>
          <w:sz w:val="24"/>
          <w:szCs w:val="24"/>
        </w:rPr>
      </w:pPr>
      <w:r w:rsidRPr="006340BE">
        <w:rPr>
          <w:rFonts w:ascii="Times New Roman" w:hAnsi="Times New Roman" w:cs="Times New Roman"/>
          <w:color w:val="000000" w:themeColor="text1"/>
          <w:sz w:val="24"/>
          <w:szCs w:val="24"/>
        </w:rPr>
        <w:t>Europe looks ahead and paves the way to the next generation by offering an excellent knowledge-based society with top institutions and talent while promoting inclusiveness and democratic values.</w:t>
      </w:r>
    </w:p>
    <w:p w14:paraId="09B0EEF6" w14:textId="15AF9E4A" w:rsidR="00FF4D18" w:rsidRDefault="00FF4D18">
      <w:pPr>
        <w:rPr>
          <w:color w:val="000000" w:themeColor="text1"/>
        </w:rPr>
      </w:pPr>
      <w:r>
        <w:rPr>
          <w:color w:val="000000" w:themeColor="text1"/>
        </w:rPr>
        <w:br w:type="page"/>
      </w:r>
    </w:p>
    <w:p w14:paraId="48D1E741" w14:textId="6ABDF5A7" w:rsidR="00FF4D18" w:rsidRPr="00655CC0" w:rsidRDefault="00644C0F" w:rsidP="00FF4D18">
      <w:pPr>
        <w:pStyle w:val="Heading1"/>
        <w:spacing w:before="0" w:after="120"/>
        <w:rPr>
          <w:rFonts w:ascii="Times New Roman" w:hAnsi="Times New Roman" w:cs="Times New Roman"/>
          <w:noProof/>
          <w:color w:val="auto"/>
          <w:sz w:val="24"/>
          <w:szCs w:val="24"/>
        </w:rPr>
      </w:pPr>
      <w:bookmarkStart w:id="14" w:name="_Toc31280199"/>
      <w:bookmarkStart w:id="15" w:name="_Toc31301806"/>
      <w:bookmarkStart w:id="16" w:name="_Toc31309609"/>
      <w:bookmarkStart w:id="17" w:name="_Toc31314972"/>
      <w:bookmarkStart w:id="18" w:name="_Toc31385216"/>
      <w:bookmarkStart w:id="19" w:name="_Toc31798879"/>
      <w:r w:rsidRPr="007A78F6">
        <w:rPr>
          <w:rFonts w:ascii="Times New Roman" w:hAnsi="Times New Roman" w:cs="Times New Roman"/>
          <w:noProof/>
          <w:color w:val="auto"/>
          <w:sz w:val="24"/>
          <w:szCs w:val="24"/>
          <w:highlight w:val="yellow"/>
        </w:rPr>
        <w:lastRenderedPageBreak/>
        <w:t>APPENDIX</w:t>
      </w:r>
      <w:bookmarkEnd w:id="14"/>
      <w:bookmarkEnd w:id="15"/>
      <w:bookmarkEnd w:id="16"/>
      <w:bookmarkEnd w:id="17"/>
      <w:bookmarkEnd w:id="18"/>
      <w:bookmarkEnd w:id="19"/>
      <w:r w:rsidR="00FF4D18" w:rsidRPr="007A78F6">
        <w:rPr>
          <w:rFonts w:ascii="Times New Roman" w:hAnsi="Times New Roman" w:cs="Times New Roman"/>
          <w:noProof/>
          <w:color w:val="auto"/>
          <w:sz w:val="24"/>
          <w:szCs w:val="24"/>
          <w:highlight w:val="yellow"/>
        </w:rPr>
        <w:t xml:space="preserve"> </w:t>
      </w:r>
      <w:r w:rsidR="00655CC0" w:rsidRPr="007A78F6">
        <w:rPr>
          <w:rFonts w:ascii="Times New Roman" w:hAnsi="Times New Roman" w:cs="Times New Roman"/>
          <w:noProof/>
          <w:color w:val="auto"/>
          <w:sz w:val="24"/>
          <w:szCs w:val="24"/>
          <w:highlight w:val="yellow"/>
        </w:rPr>
        <w:t>- ERA Roadmap</w:t>
      </w:r>
    </w:p>
    <w:tbl>
      <w:tblPr>
        <w:tblStyle w:val="TableGrid"/>
        <w:tblW w:w="9062" w:type="dxa"/>
        <w:tblLook w:val="04A0" w:firstRow="1" w:lastRow="0" w:firstColumn="1" w:lastColumn="0" w:noHBand="0" w:noVBand="1"/>
      </w:tblPr>
      <w:tblGrid>
        <w:gridCol w:w="561"/>
        <w:gridCol w:w="7285"/>
        <w:gridCol w:w="1216"/>
      </w:tblGrid>
      <w:tr w:rsidR="003D627F" w14:paraId="02693C27" w14:textId="77777777" w:rsidTr="004C70A4">
        <w:tc>
          <w:tcPr>
            <w:tcW w:w="562" w:type="dxa"/>
          </w:tcPr>
          <w:p w14:paraId="232D1341" w14:textId="77777777" w:rsidR="003D627F" w:rsidRDefault="003D627F" w:rsidP="003B19FE">
            <w:pPr>
              <w:spacing w:before="120" w:after="120"/>
              <w:jc w:val="both"/>
              <w:rPr>
                <w:rFonts w:ascii="Times New Roman" w:eastAsia="Times New Roman" w:hAnsi="Times New Roman" w:cs="Times New Roman"/>
                <w:b/>
                <w:noProof/>
                <w:sz w:val="24"/>
                <w:szCs w:val="24"/>
                <w:lang w:eastAsia="en-IE"/>
              </w:rPr>
            </w:pPr>
          </w:p>
        </w:tc>
        <w:tc>
          <w:tcPr>
            <w:tcW w:w="7390" w:type="dxa"/>
          </w:tcPr>
          <w:p w14:paraId="37A19423" w14:textId="1B36DF9C" w:rsidR="003D627F" w:rsidRDefault="003D627F" w:rsidP="003B19FE">
            <w:pPr>
              <w:spacing w:before="120" w:after="120"/>
              <w:jc w:val="both"/>
              <w:rPr>
                <w:rFonts w:ascii="Times New Roman" w:eastAsia="Times New Roman" w:hAnsi="Times New Roman" w:cs="Times New Roman"/>
                <w:b/>
                <w:noProof/>
                <w:sz w:val="24"/>
                <w:szCs w:val="24"/>
                <w:lang w:eastAsia="en-IE"/>
              </w:rPr>
            </w:pPr>
            <w:r>
              <w:rPr>
                <w:rFonts w:ascii="Times New Roman" w:eastAsia="Times New Roman" w:hAnsi="Times New Roman" w:cs="Times New Roman"/>
                <w:b/>
                <w:noProof/>
                <w:sz w:val="24"/>
                <w:szCs w:val="24"/>
                <w:lang w:eastAsia="en-IE"/>
              </w:rPr>
              <w:t>Key actions</w:t>
            </w:r>
          </w:p>
        </w:tc>
        <w:tc>
          <w:tcPr>
            <w:tcW w:w="1110" w:type="dxa"/>
          </w:tcPr>
          <w:p w14:paraId="4CBCCF4B" w14:textId="77777777" w:rsidR="003D627F" w:rsidRDefault="003D627F" w:rsidP="003B19FE">
            <w:pPr>
              <w:spacing w:before="120" w:after="120"/>
              <w:jc w:val="both"/>
              <w:rPr>
                <w:rFonts w:ascii="Times New Roman" w:eastAsia="Times New Roman" w:hAnsi="Times New Roman" w:cs="Times New Roman"/>
                <w:b/>
                <w:noProof/>
                <w:sz w:val="24"/>
                <w:szCs w:val="24"/>
                <w:lang w:eastAsia="en-IE"/>
              </w:rPr>
            </w:pPr>
            <w:r>
              <w:rPr>
                <w:rFonts w:ascii="Times New Roman" w:hAnsi="Times New Roman" w:cs="Times New Roman"/>
                <w:b/>
                <w:noProof/>
                <w:sz w:val="24"/>
                <w:szCs w:val="24"/>
              </w:rPr>
              <w:t>Date</w:t>
            </w:r>
          </w:p>
        </w:tc>
      </w:tr>
      <w:tr w:rsidR="003D627F" w14:paraId="0B73067D" w14:textId="77777777" w:rsidTr="004C70A4">
        <w:tc>
          <w:tcPr>
            <w:tcW w:w="562" w:type="dxa"/>
            <w:shd w:val="clear" w:color="auto" w:fill="D9D9D9" w:themeFill="background1" w:themeFillShade="D9"/>
          </w:tcPr>
          <w:p w14:paraId="5B5F4565" w14:textId="77777777" w:rsidR="003D627F" w:rsidRDefault="003D627F" w:rsidP="003B19FE">
            <w:pPr>
              <w:spacing w:before="120" w:after="120"/>
              <w:jc w:val="both"/>
              <w:rPr>
                <w:rFonts w:ascii="Times New Roman" w:eastAsia="Times New Roman" w:hAnsi="Times New Roman" w:cs="Times New Roman"/>
                <w:b/>
                <w:noProof/>
                <w:sz w:val="24"/>
                <w:szCs w:val="24"/>
                <w:lang w:eastAsia="en-IE"/>
              </w:rPr>
            </w:pPr>
          </w:p>
        </w:tc>
        <w:tc>
          <w:tcPr>
            <w:tcW w:w="8500" w:type="dxa"/>
            <w:gridSpan w:val="2"/>
            <w:shd w:val="clear" w:color="auto" w:fill="D9D9D9" w:themeFill="background1" w:themeFillShade="D9"/>
          </w:tcPr>
          <w:p w14:paraId="1A3557B9" w14:textId="13486534" w:rsidR="003D627F" w:rsidRDefault="003D627F" w:rsidP="003B19FE">
            <w:pPr>
              <w:spacing w:before="120" w:after="120"/>
              <w:jc w:val="both"/>
              <w:rPr>
                <w:rFonts w:ascii="Times New Roman" w:eastAsia="Times New Roman" w:hAnsi="Times New Roman" w:cs="Times New Roman"/>
                <w:b/>
                <w:noProof/>
                <w:sz w:val="24"/>
                <w:szCs w:val="24"/>
                <w:lang w:eastAsia="en-IE"/>
              </w:rPr>
            </w:pPr>
          </w:p>
        </w:tc>
      </w:tr>
      <w:tr w:rsidR="003D627F" w14:paraId="00561336" w14:textId="77777777" w:rsidTr="004C70A4">
        <w:tc>
          <w:tcPr>
            <w:tcW w:w="562" w:type="dxa"/>
          </w:tcPr>
          <w:p w14:paraId="2B88BF89" w14:textId="0C994648" w:rsidR="003D627F" w:rsidRDefault="003D627F" w:rsidP="003B19FE">
            <w:pPr>
              <w:spacing w:before="120" w:after="120"/>
              <w:jc w:val="both"/>
              <w:rPr>
                <w:rFonts w:ascii="Times New Roman" w:hAnsi="Times New Roman" w:cs="Times New Roman"/>
                <w:noProof/>
                <w:sz w:val="24"/>
                <w:szCs w:val="24"/>
              </w:rPr>
            </w:pPr>
            <w:r>
              <w:rPr>
                <w:rFonts w:ascii="Times New Roman" w:hAnsi="Times New Roman" w:cs="Times New Roman"/>
                <w:noProof/>
                <w:sz w:val="24"/>
                <w:szCs w:val="24"/>
              </w:rPr>
              <w:t>1.</w:t>
            </w:r>
          </w:p>
        </w:tc>
        <w:tc>
          <w:tcPr>
            <w:tcW w:w="7390" w:type="dxa"/>
          </w:tcPr>
          <w:p w14:paraId="56CCAF51" w14:textId="70F614CC" w:rsidR="003D627F" w:rsidRDefault="003D627F" w:rsidP="003B19FE">
            <w:pPr>
              <w:spacing w:before="120" w:after="120"/>
              <w:jc w:val="both"/>
              <w:rPr>
                <w:rFonts w:ascii="Times New Roman" w:eastAsia="Times New Roman" w:hAnsi="Times New Roman" w:cs="Times New Roman"/>
                <w:noProof/>
                <w:sz w:val="24"/>
                <w:szCs w:val="24"/>
                <w:lang w:eastAsia="en-IE"/>
              </w:rPr>
            </w:pPr>
            <w:r>
              <w:rPr>
                <w:rFonts w:ascii="Times New Roman" w:hAnsi="Times New Roman" w:cs="Times New Roman"/>
                <w:noProof/>
                <w:sz w:val="24"/>
                <w:szCs w:val="24"/>
              </w:rPr>
              <w:t>R</w:t>
            </w:r>
            <w:r w:rsidRPr="00A337D8">
              <w:rPr>
                <w:rFonts w:ascii="Times New Roman" w:hAnsi="Times New Roman" w:cs="Times New Roman"/>
                <w:noProof/>
                <w:sz w:val="24"/>
                <w:szCs w:val="24"/>
              </w:rPr>
              <w:t xml:space="preserve">e-affirm the 3% GDP EU R&amp;I investment target and </w:t>
            </w:r>
            <w:r>
              <w:rPr>
                <w:rFonts w:ascii="Times New Roman" w:hAnsi="Times New Roman" w:cs="Times New Roman"/>
                <w:noProof/>
                <w:sz w:val="24"/>
                <w:szCs w:val="24"/>
              </w:rPr>
              <w:t>propose</w:t>
            </w:r>
            <w:r w:rsidRPr="00A337D8">
              <w:rPr>
                <w:rFonts w:ascii="Times New Roman" w:hAnsi="Times New Roman" w:cs="Times New Roman"/>
                <w:noProof/>
                <w:sz w:val="24"/>
                <w:szCs w:val="24"/>
              </w:rPr>
              <w:t xml:space="preserve"> a new EU 1.25% GDP public effort target to be achieved by Member States by 2030 </w:t>
            </w:r>
          </w:p>
        </w:tc>
        <w:tc>
          <w:tcPr>
            <w:tcW w:w="1110" w:type="dxa"/>
          </w:tcPr>
          <w:p w14:paraId="056EA254" w14:textId="5E23EF5B" w:rsidR="003D627F" w:rsidRPr="00C7144F" w:rsidRDefault="003D627F" w:rsidP="004C70A4">
            <w:pPr>
              <w:spacing w:before="120" w:after="120"/>
              <w:rPr>
                <w:rFonts w:ascii="Times New Roman" w:eastAsia="Times New Roman" w:hAnsi="Times New Roman" w:cs="Times New Roman"/>
                <w:noProof/>
                <w:color w:val="FF0000"/>
                <w:sz w:val="24"/>
                <w:szCs w:val="24"/>
                <w:lang w:eastAsia="en-IE"/>
              </w:rPr>
            </w:pPr>
            <w:r>
              <w:rPr>
                <w:rFonts w:ascii="Times New Roman" w:eastAsia="Times New Roman" w:hAnsi="Times New Roman" w:cs="Times New Roman"/>
                <w:noProof/>
                <w:sz w:val="24"/>
                <w:szCs w:val="24"/>
                <w:lang w:eastAsia="en-IE"/>
              </w:rPr>
              <w:t xml:space="preserve">Starting in </w:t>
            </w:r>
            <w:r w:rsidRPr="007741FB">
              <w:rPr>
                <w:rFonts w:ascii="Times New Roman" w:eastAsia="Times New Roman" w:hAnsi="Times New Roman" w:cs="Times New Roman"/>
                <w:noProof/>
                <w:sz w:val="24"/>
                <w:szCs w:val="24"/>
                <w:lang w:eastAsia="en-IE"/>
              </w:rPr>
              <w:t>2021</w:t>
            </w:r>
          </w:p>
        </w:tc>
      </w:tr>
      <w:tr w:rsidR="003D627F" w14:paraId="538E4084" w14:textId="77777777" w:rsidTr="004C70A4">
        <w:tc>
          <w:tcPr>
            <w:tcW w:w="562" w:type="dxa"/>
          </w:tcPr>
          <w:p w14:paraId="0C9302CD" w14:textId="1040C5B0" w:rsidR="003D627F" w:rsidRDefault="003D627F" w:rsidP="004E520E">
            <w:pPr>
              <w:spacing w:before="120" w:after="120"/>
              <w:jc w:val="both"/>
              <w:rPr>
                <w:rFonts w:ascii="Times New Roman" w:hAnsi="Times New Roman" w:cs="Times New Roman"/>
                <w:noProof/>
                <w:sz w:val="24"/>
                <w:szCs w:val="24"/>
              </w:rPr>
            </w:pPr>
            <w:r>
              <w:rPr>
                <w:rFonts w:ascii="Times New Roman" w:hAnsi="Times New Roman" w:cs="Times New Roman"/>
                <w:noProof/>
                <w:sz w:val="24"/>
                <w:szCs w:val="24"/>
              </w:rPr>
              <w:t>2.</w:t>
            </w:r>
          </w:p>
        </w:tc>
        <w:tc>
          <w:tcPr>
            <w:tcW w:w="7390" w:type="dxa"/>
            <w:shd w:val="clear" w:color="auto" w:fill="auto"/>
          </w:tcPr>
          <w:p w14:paraId="012BB5EB" w14:textId="769F91D4" w:rsidR="003D627F" w:rsidRDefault="003D627F" w:rsidP="004E520E">
            <w:pPr>
              <w:spacing w:before="120" w:after="120"/>
              <w:jc w:val="both"/>
              <w:rPr>
                <w:rFonts w:ascii="Times New Roman" w:eastAsia="Times New Roman" w:hAnsi="Times New Roman" w:cs="Times New Roman"/>
                <w:noProof/>
                <w:sz w:val="24"/>
                <w:szCs w:val="24"/>
                <w:lang w:eastAsia="en-IE"/>
              </w:rPr>
            </w:pPr>
            <w:r>
              <w:rPr>
                <w:rFonts w:ascii="Times New Roman" w:hAnsi="Times New Roman" w:cs="Times New Roman"/>
                <w:noProof/>
                <w:sz w:val="24"/>
                <w:szCs w:val="24"/>
              </w:rPr>
              <w:t xml:space="preserve">Launch of ERA Forum for Transition, to support Member States in </w:t>
            </w:r>
            <w:r w:rsidRPr="004E520E">
              <w:rPr>
                <w:rFonts w:ascii="Times New Roman" w:hAnsi="Times New Roman" w:cs="Times New Roman"/>
                <w:noProof/>
                <w:sz w:val="24"/>
                <w:szCs w:val="24"/>
              </w:rPr>
              <w:t>the coordination and prioritisation of national R&amp;I funding, and reforms</w:t>
            </w:r>
            <w:r>
              <w:rPr>
                <w:rFonts w:ascii="Times New Roman" w:hAnsi="Times New Roman" w:cs="Times New Roman"/>
                <w:noProof/>
                <w:sz w:val="24"/>
                <w:szCs w:val="24"/>
              </w:rPr>
              <w:t xml:space="preserve"> </w:t>
            </w:r>
          </w:p>
        </w:tc>
        <w:tc>
          <w:tcPr>
            <w:tcW w:w="1110" w:type="dxa"/>
          </w:tcPr>
          <w:p w14:paraId="04EEADCD" w14:textId="1891F7B9" w:rsidR="003D627F" w:rsidRDefault="003D627F" w:rsidP="004C70A4">
            <w:pPr>
              <w:spacing w:before="120" w:after="120"/>
              <w:rPr>
                <w:rFonts w:ascii="Times New Roman" w:eastAsia="Times New Roman" w:hAnsi="Times New Roman" w:cs="Times New Roman"/>
                <w:noProof/>
                <w:sz w:val="24"/>
                <w:szCs w:val="24"/>
                <w:lang w:eastAsia="en-IE"/>
              </w:rPr>
            </w:pPr>
            <w:r>
              <w:rPr>
                <w:rFonts w:ascii="Times New Roman" w:eastAsia="Times New Roman" w:hAnsi="Times New Roman" w:cs="Times New Roman"/>
                <w:noProof/>
                <w:sz w:val="24"/>
                <w:szCs w:val="24"/>
                <w:lang w:eastAsia="en-IE"/>
              </w:rPr>
              <w:t>Starting in 2021</w:t>
            </w:r>
          </w:p>
        </w:tc>
      </w:tr>
      <w:tr w:rsidR="003D627F" w14:paraId="733AB8F1" w14:textId="77777777" w:rsidTr="004C70A4">
        <w:tc>
          <w:tcPr>
            <w:tcW w:w="562" w:type="dxa"/>
          </w:tcPr>
          <w:p w14:paraId="4F92060A" w14:textId="65336165" w:rsidR="003D627F" w:rsidRDefault="003D627F" w:rsidP="003D627F">
            <w:pPr>
              <w:spacing w:before="120" w:after="120"/>
              <w:jc w:val="both"/>
              <w:rPr>
                <w:rFonts w:ascii="Times New Roman" w:hAnsi="Times New Roman" w:cs="Times New Roman"/>
                <w:noProof/>
                <w:sz w:val="24"/>
                <w:szCs w:val="24"/>
              </w:rPr>
            </w:pPr>
            <w:r>
              <w:rPr>
                <w:rFonts w:ascii="Times New Roman" w:hAnsi="Times New Roman" w:cs="Times New Roman"/>
                <w:noProof/>
                <w:sz w:val="24"/>
                <w:szCs w:val="24"/>
              </w:rPr>
              <w:t>3.</w:t>
            </w:r>
          </w:p>
        </w:tc>
        <w:tc>
          <w:tcPr>
            <w:tcW w:w="7390" w:type="dxa"/>
            <w:shd w:val="clear" w:color="auto" w:fill="auto"/>
          </w:tcPr>
          <w:p w14:paraId="134DD91B" w14:textId="40F7F3FD" w:rsidR="003D627F" w:rsidRDefault="003D627F" w:rsidP="003D627F">
            <w:pPr>
              <w:spacing w:before="120" w:after="120"/>
              <w:jc w:val="both"/>
              <w:rPr>
                <w:rFonts w:ascii="Times New Roman" w:hAnsi="Times New Roman" w:cs="Times New Roman"/>
                <w:noProof/>
                <w:sz w:val="24"/>
                <w:szCs w:val="24"/>
              </w:rPr>
            </w:pPr>
            <w:r>
              <w:rPr>
                <w:rFonts w:ascii="Times New Roman" w:hAnsi="Times New Roman" w:cs="Times New Roman"/>
                <w:noProof/>
                <w:sz w:val="24"/>
                <w:szCs w:val="24"/>
              </w:rPr>
              <w:t>Support Member States who are below the EU average</w:t>
            </w:r>
            <w:r>
              <w:t xml:space="preserve"> </w:t>
            </w:r>
            <w:r w:rsidRPr="006B5C6C">
              <w:rPr>
                <w:rFonts w:ascii="Times New Roman" w:hAnsi="Times New Roman" w:cs="Times New Roman"/>
                <w:noProof/>
                <w:sz w:val="24"/>
                <w:szCs w:val="24"/>
              </w:rPr>
              <w:t xml:space="preserve">R&amp;D investment </w:t>
            </w:r>
            <w:r>
              <w:rPr>
                <w:rFonts w:ascii="Times New Roman" w:hAnsi="Times New Roman" w:cs="Times New Roman"/>
                <w:noProof/>
                <w:sz w:val="24"/>
                <w:szCs w:val="24"/>
              </w:rPr>
              <w:t xml:space="preserve"> </w:t>
            </w:r>
            <w:r w:rsidRPr="006B5C6C">
              <w:rPr>
                <w:rFonts w:ascii="Times New Roman" w:hAnsi="Times New Roman" w:cs="Times New Roman"/>
                <w:noProof/>
                <w:sz w:val="24"/>
                <w:szCs w:val="24"/>
              </w:rPr>
              <w:t>over GDP</w:t>
            </w:r>
            <w:r>
              <w:rPr>
                <w:rFonts w:ascii="Times New Roman" w:hAnsi="Times New Roman" w:cs="Times New Roman"/>
                <w:noProof/>
                <w:sz w:val="24"/>
                <w:szCs w:val="24"/>
              </w:rPr>
              <w:t xml:space="preserve"> to </w:t>
            </w:r>
            <w:r w:rsidRPr="006B5C6C">
              <w:rPr>
                <w:rFonts w:ascii="Times New Roman" w:hAnsi="Times New Roman" w:cs="Times New Roman"/>
                <w:noProof/>
                <w:sz w:val="24"/>
                <w:szCs w:val="24"/>
              </w:rPr>
              <w:t xml:space="preserve">increase their total investment in </w:t>
            </w:r>
            <w:r w:rsidR="004D1DFE">
              <w:rPr>
                <w:rFonts w:ascii="Times New Roman" w:hAnsi="Times New Roman" w:cs="Times New Roman"/>
                <w:noProof/>
                <w:sz w:val="24"/>
                <w:szCs w:val="24"/>
              </w:rPr>
              <w:t>R&amp;D by 50% in the next 5 years</w:t>
            </w:r>
          </w:p>
        </w:tc>
        <w:tc>
          <w:tcPr>
            <w:tcW w:w="1110" w:type="dxa"/>
          </w:tcPr>
          <w:p w14:paraId="2C8E896C" w14:textId="03580AAE" w:rsidR="003D627F" w:rsidRDefault="004D1DFE" w:rsidP="004C70A4">
            <w:pPr>
              <w:spacing w:before="120" w:after="120"/>
              <w:rPr>
                <w:rFonts w:ascii="Times New Roman" w:hAnsi="Times New Roman" w:cs="Times New Roman"/>
                <w:noProof/>
                <w:sz w:val="24"/>
                <w:szCs w:val="24"/>
              </w:rPr>
            </w:pPr>
            <w:r>
              <w:rPr>
                <w:rFonts w:ascii="Times New Roman" w:hAnsi="Times New Roman" w:cs="Times New Roman"/>
                <w:noProof/>
                <w:sz w:val="24"/>
                <w:szCs w:val="24"/>
              </w:rPr>
              <w:t>Starting in 2021</w:t>
            </w:r>
          </w:p>
        </w:tc>
      </w:tr>
      <w:tr w:rsidR="003D627F" w14:paraId="22EAC0CB" w14:textId="77777777" w:rsidTr="004C70A4">
        <w:tc>
          <w:tcPr>
            <w:tcW w:w="562" w:type="dxa"/>
          </w:tcPr>
          <w:p w14:paraId="51A30A02" w14:textId="115A9D14" w:rsidR="003D627F" w:rsidRPr="00A337D8" w:rsidRDefault="003D627F" w:rsidP="003B19FE">
            <w:pPr>
              <w:spacing w:before="120" w:after="120"/>
              <w:jc w:val="both"/>
              <w:rPr>
                <w:rFonts w:ascii="Times New Roman" w:hAnsi="Times New Roman" w:cs="Times New Roman"/>
                <w:noProof/>
                <w:sz w:val="24"/>
                <w:szCs w:val="24"/>
              </w:rPr>
            </w:pPr>
            <w:r>
              <w:rPr>
                <w:rFonts w:ascii="Times New Roman" w:hAnsi="Times New Roman" w:cs="Times New Roman"/>
                <w:noProof/>
                <w:sz w:val="24"/>
                <w:szCs w:val="24"/>
              </w:rPr>
              <w:t>4.</w:t>
            </w:r>
          </w:p>
        </w:tc>
        <w:tc>
          <w:tcPr>
            <w:tcW w:w="7390" w:type="dxa"/>
            <w:shd w:val="clear" w:color="auto" w:fill="auto"/>
          </w:tcPr>
          <w:p w14:paraId="2ED5E50C" w14:textId="2FFE80E1" w:rsidR="003D627F" w:rsidRDefault="003D627F" w:rsidP="003B19FE">
            <w:pPr>
              <w:spacing w:before="120" w:after="120"/>
              <w:jc w:val="both"/>
              <w:rPr>
                <w:rFonts w:ascii="Times New Roman" w:hAnsi="Times New Roman" w:cs="Times New Roman"/>
                <w:noProof/>
                <w:sz w:val="24"/>
                <w:szCs w:val="24"/>
              </w:rPr>
            </w:pPr>
            <w:r w:rsidRPr="00A337D8">
              <w:rPr>
                <w:rFonts w:ascii="Times New Roman" w:hAnsi="Times New Roman" w:cs="Times New Roman"/>
                <w:noProof/>
                <w:sz w:val="24"/>
                <w:szCs w:val="24"/>
              </w:rPr>
              <w:t>Set up a dedicated work stream in</w:t>
            </w:r>
            <w:r>
              <w:rPr>
                <w:rFonts w:ascii="Times New Roman" w:hAnsi="Times New Roman" w:cs="Times New Roman"/>
                <w:noProof/>
                <w:sz w:val="24"/>
                <w:szCs w:val="24"/>
              </w:rPr>
              <w:t xml:space="preserve"> the ERA Forum for Transition for access to excellence</w:t>
            </w:r>
            <w:r w:rsidRPr="00A337D8">
              <w:rPr>
                <w:rFonts w:ascii="Times New Roman" w:hAnsi="Times New Roman" w:cs="Times New Roman"/>
                <w:noProof/>
                <w:sz w:val="24"/>
                <w:szCs w:val="24"/>
              </w:rPr>
              <w:t xml:space="preserve"> </w:t>
            </w:r>
            <w:r>
              <w:rPr>
                <w:rFonts w:ascii="Times New Roman" w:hAnsi="Times New Roman" w:cs="Times New Roman"/>
                <w:noProof/>
                <w:sz w:val="24"/>
                <w:szCs w:val="24"/>
              </w:rPr>
              <w:t>and support less performing R&amp;I Member States in increasing their number of highly cited publications by one-third over 5 years</w:t>
            </w:r>
          </w:p>
        </w:tc>
        <w:tc>
          <w:tcPr>
            <w:tcW w:w="1110" w:type="dxa"/>
          </w:tcPr>
          <w:p w14:paraId="5EC0BBA0" w14:textId="64EAAE46" w:rsidR="003D627F" w:rsidRDefault="003D627F" w:rsidP="004C70A4">
            <w:pPr>
              <w:spacing w:before="120" w:after="120"/>
              <w:rPr>
                <w:rFonts w:ascii="Times New Roman" w:eastAsia="Times New Roman" w:hAnsi="Times New Roman" w:cs="Times New Roman"/>
                <w:noProof/>
                <w:sz w:val="24"/>
                <w:szCs w:val="24"/>
                <w:lang w:eastAsia="en-IE"/>
              </w:rPr>
            </w:pPr>
            <w:r>
              <w:rPr>
                <w:rFonts w:ascii="Times New Roman" w:hAnsi="Times New Roman" w:cs="Times New Roman"/>
                <w:noProof/>
                <w:sz w:val="24"/>
                <w:szCs w:val="24"/>
              </w:rPr>
              <w:t xml:space="preserve">Starting in </w:t>
            </w:r>
            <w:r>
              <w:rPr>
                <w:rFonts w:ascii="Times New Roman" w:eastAsia="Times New Roman" w:hAnsi="Times New Roman" w:cs="Times New Roman"/>
                <w:noProof/>
                <w:sz w:val="24"/>
                <w:szCs w:val="24"/>
                <w:lang w:eastAsia="en-IE"/>
              </w:rPr>
              <w:t>2021</w:t>
            </w:r>
          </w:p>
        </w:tc>
      </w:tr>
      <w:tr w:rsidR="003D627F" w14:paraId="5303EC8B" w14:textId="77777777" w:rsidTr="004C70A4">
        <w:tc>
          <w:tcPr>
            <w:tcW w:w="562" w:type="dxa"/>
          </w:tcPr>
          <w:p w14:paraId="527BD71F" w14:textId="00282E59" w:rsidR="003D627F" w:rsidRDefault="003D627F" w:rsidP="003B19FE">
            <w:pPr>
              <w:spacing w:before="120" w:after="120"/>
              <w:jc w:val="both"/>
              <w:rPr>
                <w:rFonts w:ascii="Times New Roman" w:hAnsi="Times New Roman" w:cs="Times New Roman"/>
                <w:noProof/>
                <w:sz w:val="24"/>
                <w:szCs w:val="24"/>
              </w:rPr>
            </w:pPr>
            <w:r>
              <w:rPr>
                <w:rFonts w:ascii="Times New Roman" w:hAnsi="Times New Roman" w:cs="Times New Roman"/>
                <w:noProof/>
                <w:sz w:val="24"/>
                <w:szCs w:val="24"/>
              </w:rPr>
              <w:t>5.</w:t>
            </w:r>
          </w:p>
        </w:tc>
        <w:tc>
          <w:tcPr>
            <w:tcW w:w="7390" w:type="dxa"/>
          </w:tcPr>
          <w:p w14:paraId="22F2F328" w14:textId="76C3D97F" w:rsidR="003D627F" w:rsidRDefault="003D627F" w:rsidP="003B19FE">
            <w:pPr>
              <w:spacing w:before="120" w:after="120"/>
              <w:jc w:val="both"/>
              <w:rPr>
                <w:rFonts w:ascii="Times New Roman" w:eastAsia="Times New Roman" w:hAnsi="Times New Roman" w:cs="Times New Roman"/>
                <w:noProof/>
                <w:sz w:val="24"/>
                <w:szCs w:val="24"/>
                <w:lang w:eastAsia="en-IE"/>
              </w:rPr>
            </w:pPr>
            <w:r>
              <w:rPr>
                <w:rFonts w:ascii="Times New Roman" w:hAnsi="Times New Roman" w:cs="Times New Roman"/>
                <w:noProof/>
                <w:sz w:val="24"/>
                <w:szCs w:val="24"/>
              </w:rPr>
              <w:t>D</w:t>
            </w:r>
            <w:r w:rsidRPr="00A337D8">
              <w:rPr>
                <w:rFonts w:ascii="Times New Roman" w:hAnsi="Times New Roman" w:cs="Times New Roman"/>
                <w:noProof/>
                <w:sz w:val="24"/>
                <w:szCs w:val="24"/>
              </w:rPr>
              <w:t xml:space="preserve">evelop common industrial technology roadmaps </w:t>
            </w:r>
          </w:p>
        </w:tc>
        <w:tc>
          <w:tcPr>
            <w:tcW w:w="1110" w:type="dxa"/>
          </w:tcPr>
          <w:p w14:paraId="5D66FCFA" w14:textId="777B5BB1" w:rsidR="003D627F" w:rsidRDefault="003D627F" w:rsidP="004C70A4">
            <w:pPr>
              <w:spacing w:before="120" w:after="120"/>
              <w:rPr>
                <w:rFonts w:ascii="Times New Roman" w:eastAsia="Times New Roman" w:hAnsi="Times New Roman" w:cs="Times New Roman"/>
                <w:noProof/>
                <w:sz w:val="24"/>
                <w:szCs w:val="24"/>
                <w:lang w:eastAsia="en-IE"/>
              </w:rPr>
            </w:pPr>
            <w:r>
              <w:rPr>
                <w:rFonts w:ascii="Times New Roman" w:eastAsia="Times New Roman" w:hAnsi="Times New Roman" w:cs="Times New Roman"/>
                <w:noProof/>
                <w:sz w:val="24"/>
                <w:szCs w:val="24"/>
                <w:lang w:eastAsia="en-IE"/>
              </w:rPr>
              <w:t>By the end of 2022</w:t>
            </w:r>
          </w:p>
        </w:tc>
      </w:tr>
      <w:tr w:rsidR="003D627F" w14:paraId="0021FDE4" w14:textId="77777777" w:rsidTr="004C70A4">
        <w:tc>
          <w:tcPr>
            <w:tcW w:w="562" w:type="dxa"/>
          </w:tcPr>
          <w:p w14:paraId="21933C42" w14:textId="2D8925D9" w:rsidR="003D627F" w:rsidRPr="00A337D8" w:rsidRDefault="003D627F" w:rsidP="003B19FE">
            <w:pPr>
              <w:spacing w:before="120" w:after="120"/>
              <w:jc w:val="both"/>
              <w:rPr>
                <w:rFonts w:ascii="Times New Roman" w:hAnsi="Times New Roman" w:cs="Times New Roman"/>
                <w:noProof/>
                <w:sz w:val="24"/>
                <w:szCs w:val="24"/>
              </w:rPr>
            </w:pPr>
            <w:r>
              <w:rPr>
                <w:rFonts w:ascii="Times New Roman" w:hAnsi="Times New Roman" w:cs="Times New Roman"/>
                <w:noProof/>
                <w:sz w:val="24"/>
                <w:szCs w:val="24"/>
              </w:rPr>
              <w:t>6.</w:t>
            </w:r>
          </w:p>
        </w:tc>
        <w:tc>
          <w:tcPr>
            <w:tcW w:w="7390" w:type="dxa"/>
          </w:tcPr>
          <w:p w14:paraId="589675A6" w14:textId="4CDE53BC" w:rsidR="00A308FA" w:rsidRPr="004E416A" w:rsidRDefault="00123DEA" w:rsidP="00E767BB">
            <w:pPr>
              <w:spacing w:before="120" w:after="120"/>
              <w:jc w:val="both"/>
              <w:rPr>
                <w:rFonts w:ascii="Times New Roman" w:hAnsi="Times New Roman" w:cs="Times New Roman"/>
                <w:noProof/>
                <w:sz w:val="24"/>
                <w:szCs w:val="24"/>
              </w:rPr>
            </w:pPr>
            <w:r>
              <w:rPr>
                <w:rFonts w:ascii="Times New Roman" w:hAnsi="Times New Roman" w:cs="Times New Roman"/>
                <w:color w:val="000000" w:themeColor="text1"/>
                <w:sz w:val="24"/>
                <w:szCs w:val="24"/>
              </w:rPr>
              <w:t>D</w:t>
            </w:r>
            <w:r w:rsidRPr="002511DD">
              <w:rPr>
                <w:rFonts w:ascii="Times New Roman" w:hAnsi="Times New Roman" w:cs="Times New Roman"/>
                <w:color w:val="000000" w:themeColor="text1"/>
                <w:sz w:val="24"/>
                <w:szCs w:val="24"/>
              </w:rPr>
              <w:t xml:space="preserve">evelop and test </w:t>
            </w:r>
            <w:r>
              <w:rPr>
                <w:rFonts w:ascii="Times New Roman" w:hAnsi="Times New Roman" w:cs="Times New Roman"/>
                <w:color w:val="000000" w:themeColor="text1"/>
                <w:sz w:val="24"/>
                <w:szCs w:val="24"/>
              </w:rPr>
              <w:t>a networking framework</w:t>
            </w:r>
            <w:r w:rsidRPr="002511DD">
              <w:rPr>
                <w:rFonts w:ascii="Times New Roman" w:hAnsi="Times New Roman" w:cs="Times New Roman"/>
                <w:color w:val="000000" w:themeColor="text1"/>
                <w:sz w:val="24"/>
                <w:szCs w:val="24"/>
              </w:rPr>
              <w:t xml:space="preserve"> in support of Europe’s R&amp;I ecosystems, building on existing capacities, in order to strengthen excellence and maximise the value of knowledge creation, circulation and use</w:t>
            </w:r>
          </w:p>
        </w:tc>
        <w:tc>
          <w:tcPr>
            <w:tcW w:w="1110" w:type="dxa"/>
          </w:tcPr>
          <w:p w14:paraId="1F2C4363" w14:textId="564ABEBE" w:rsidR="003D627F" w:rsidRDefault="003D627F" w:rsidP="004C70A4">
            <w:pPr>
              <w:spacing w:before="120" w:after="120"/>
              <w:rPr>
                <w:rFonts w:ascii="Times New Roman" w:eastAsia="Times New Roman" w:hAnsi="Times New Roman" w:cs="Times New Roman"/>
                <w:noProof/>
                <w:sz w:val="24"/>
                <w:szCs w:val="24"/>
                <w:lang w:eastAsia="en-IE"/>
              </w:rPr>
            </w:pPr>
            <w:r>
              <w:rPr>
                <w:rFonts w:ascii="Times New Roman" w:eastAsia="Times New Roman" w:hAnsi="Times New Roman" w:cs="Times New Roman"/>
                <w:noProof/>
                <w:sz w:val="24"/>
                <w:szCs w:val="24"/>
                <w:lang w:eastAsia="en-IE"/>
              </w:rPr>
              <w:t>By 2022</w:t>
            </w:r>
          </w:p>
        </w:tc>
      </w:tr>
      <w:tr w:rsidR="003D627F" w14:paraId="277913E2" w14:textId="77777777" w:rsidTr="004C70A4">
        <w:tc>
          <w:tcPr>
            <w:tcW w:w="562" w:type="dxa"/>
          </w:tcPr>
          <w:p w14:paraId="25C1EFD7" w14:textId="2DB13A72" w:rsidR="003D627F" w:rsidRPr="00A337D8" w:rsidRDefault="003D627F" w:rsidP="003B19FE">
            <w:pPr>
              <w:spacing w:before="120" w:after="120"/>
              <w:jc w:val="both"/>
              <w:rPr>
                <w:rFonts w:ascii="Times New Roman" w:hAnsi="Times New Roman" w:cs="Times New Roman"/>
                <w:noProof/>
                <w:sz w:val="24"/>
                <w:szCs w:val="24"/>
              </w:rPr>
            </w:pPr>
            <w:r>
              <w:rPr>
                <w:rFonts w:ascii="Times New Roman" w:hAnsi="Times New Roman" w:cs="Times New Roman"/>
                <w:noProof/>
                <w:sz w:val="24"/>
                <w:szCs w:val="24"/>
              </w:rPr>
              <w:t>7.</w:t>
            </w:r>
          </w:p>
        </w:tc>
        <w:tc>
          <w:tcPr>
            <w:tcW w:w="7390" w:type="dxa"/>
          </w:tcPr>
          <w:p w14:paraId="3315CDE6" w14:textId="416F8931" w:rsidR="003D627F" w:rsidRDefault="003D627F" w:rsidP="003B19FE">
            <w:pPr>
              <w:spacing w:before="120" w:after="120"/>
              <w:jc w:val="both"/>
              <w:rPr>
                <w:rFonts w:ascii="Times New Roman" w:eastAsia="Times New Roman" w:hAnsi="Times New Roman" w:cs="Times New Roman"/>
                <w:noProof/>
                <w:sz w:val="24"/>
                <w:szCs w:val="24"/>
                <w:lang w:eastAsia="en-IE"/>
              </w:rPr>
            </w:pPr>
            <w:r w:rsidRPr="00A337D8">
              <w:rPr>
                <w:rFonts w:ascii="Times New Roman" w:hAnsi="Times New Roman" w:cs="Times New Roman"/>
                <w:noProof/>
                <w:sz w:val="24"/>
                <w:szCs w:val="24"/>
              </w:rPr>
              <w:t>Update and develop guiding principles for knowledge valorisation and a code of practice for the smart use of intellectual property</w:t>
            </w:r>
          </w:p>
        </w:tc>
        <w:tc>
          <w:tcPr>
            <w:tcW w:w="1110" w:type="dxa"/>
          </w:tcPr>
          <w:p w14:paraId="6688C1A0" w14:textId="168E2EF8" w:rsidR="003D627F" w:rsidRDefault="003D627F" w:rsidP="004C70A4">
            <w:pPr>
              <w:spacing w:before="120" w:after="120"/>
              <w:rPr>
                <w:rFonts w:ascii="Times New Roman" w:eastAsia="Times New Roman" w:hAnsi="Times New Roman" w:cs="Times New Roman"/>
                <w:noProof/>
                <w:sz w:val="24"/>
                <w:szCs w:val="24"/>
                <w:lang w:eastAsia="en-IE"/>
              </w:rPr>
            </w:pPr>
            <w:r>
              <w:rPr>
                <w:rFonts w:ascii="Times New Roman" w:eastAsia="Times New Roman" w:hAnsi="Times New Roman" w:cs="Times New Roman"/>
                <w:noProof/>
                <w:sz w:val="24"/>
                <w:szCs w:val="24"/>
                <w:lang w:eastAsia="en-IE"/>
              </w:rPr>
              <w:t>By the end of 2022</w:t>
            </w:r>
          </w:p>
        </w:tc>
      </w:tr>
      <w:tr w:rsidR="003D627F" w14:paraId="4849E6FD" w14:textId="77777777" w:rsidTr="004C70A4">
        <w:tc>
          <w:tcPr>
            <w:tcW w:w="562" w:type="dxa"/>
          </w:tcPr>
          <w:p w14:paraId="4ED3A954" w14:textId="0CF3AD79" w:rsidR="003D627F" w:rsidRDefault="003D627F" w:rsidP="003B19FE">
            <w:pPr>
              <w:spacing w:before="120" w:after="120"/>
              <w:jc w:val="both"/>
              <w:rPr>
                <w:rFonts w:ascii="Times New Roman" w:hAnsi="Times New Roman" w:cs="Times New Roman"/>
                <w:noProof/>
                <w:sz w:val="24"/>
                <w:szCs w:val="24"/>
              </w:rPr>
            </w:pPr>
            <w:r>
              <w:rPr>
                <w:rFonts w:ascii="Times New Roman" w:hAnsi="Times New Roman" w:cs="Times New Roman"/>
                <w:noProof/>
                <w:sz w:val="24"/>
                <w:szCs w:val="24"/>
              </w:rPr>
              <w:t>8.</w:t>
            </w:r>
          </w:p>
        </w:tc>
        <w:tc>
          <w:tcPr>
            <w:tcW w:w="7390" w:type="dxa"/>
          </w:tcPr>
          <w:p w14:paraId="6AFC8922" w14:textId="6FB5E38F" w:rsidR="003D627F" w:rsidRPr="00A337D8" w:rsidRDefault="00644C0F" w:rsidP="009A3C79">
            <w:pPr>
              <w:spacing w:before="120" w:after="120"/>
              <w:jc w:val="both"/>
              <w:rPr>
                <w:rFonts w:ascii="Times New Roman" w:hAnsi="Times New Roman" w:cs="Times New Roman"/>
                <w:noProof/>
                <w:sz w:val="24"/>
                <w:szCs w:val="24"/>
              </w:rPr>
            </w:pPr>
            <w:r w:rsidRPr="004D1A7E">
              <w:rPr>
                <w:rFonts w:ascii="Times New Roman" w:hAnsi="Times New Roman" w:cs="Times New Roman"/>
                <w:noProof/>
                <w:sz w:val="24"/>
                <w:szCs w:val="24"/>
                <w:highlight w:val="cyan"/>
              </w:rPr>
              <w:t>N</w:t>
            </w:r>
            <w:r w:rsidR="003D627F" w:rsidRPr="004D1A7E">
              <w:rPr>
                <w:rFonts w:ascii="Times New Roman" w:hAnsi="Times New Roman" w:cs="Times New Roman"/>
                <w:noProof/>
                <w:sz w:val="24"/>
                <w:szCs w:val="24"/>
                <w:highlight w:val="cyan"/>
              </w:rPr>
              <w:t>ew toolbox in support of researchers career development</w:t>
            </w:r>
            <w:bookmarkStart w:id="20" w:name="_GoBack"/>
            <w:bookmarkEnd w:id="20"/>
          </w:p>
        </w:tc>
        <w:tc>
          <w:tcPr>
            <w:tcW w:w="1110" w:type="dxa"/>
          </w:tcPr>
          <w:p w14:paraId="7525DADB" w14:textId="1C03165C" w:rsidR="003D627F" w:rsidRDefault="00BC3C30" w:rsidP="004C70A4">
            <w:pPr>
              <w:spacing w:before="120" w:after="120"/>
              <w:rPr>
                <w:rFonts w:ascii="Times New Roman" w:eastAsia="Times New Roman" w:hAnsi="Times New Roman" w:cs="Times New Roman"/>
                <w:noProof/>
                <w:sz w:val="24"/>
                <w:szCs w:val="24"/>
                <w:lang w:eastAsia="en-IE"/>
              </w:rPr>
            </w:pPr>
            <w:r>
              <w:rPr>
                <w:rFonts w:ascii="Times New Roman" w:eastAsia="Times New Roman" w:hAnsi="Times New Roman" w:cs="Times New Roman"/>
                <w:noProof/>
                <w:sz w:val="24"/>
                <w:szCs w:val="24"/>
                <w:lang w:eastAsia="en-IE"/>
              </w:rPr>
              <w:t xml:space="preserve">By the end of </w:t>
            </w:r>
            <w:r w:rsidR="003D627F">
              <w:rPr>
                <w:rFonts w:ascii="Times New Roman" w:eastAsia="Times New Roman" w:hAnsi="Times New Roman" w:cs="Times New Roman"/>
                <w:noProof/>
                <w:sz w:val="24"/>
                <w:szCs w:val="24"/>
                <w:lang w:eastAsia="en-IE"/>
              </w:rPr>
              <w:t>2024</w:t>
            </w:r>
          </w:p>
        </w:tc>
      </w:tr>
      <w:tr w:rsidR="003D627F" w14:paraId="4C16C270" w14:textId="77777777" w:rsidTr="004C70A4">
        <w:tc>
          <w:tcPr>
            <w:tcW w:w="562" w:type="dxa"/>
          </w:tcPr>
          <w:p w14:paraId="779F64BB" w14:textId="4E2FA7DB" w:rsidR="003D627F" w:rsidRDefault="003D627F" w:rsidP="003B19FE">
            <w:pPr>
              <w:spacing w:before="120" w:after="120"/>
              <w:jc w:val="both"/>
              <w:rPr>
                <w:rFonts w:ascii="Times New Roman" w:hAnsi="Times New Roman" w:cs="Times New Roman"/>
                <w:noProof/>
                <w:sz w:val="24"/>
                <w:szCs w:val="24"/>
              </w:rPr>
            </w:pPr>
            <w:r>
              <w:rPr>
                <w:rFonts w:ascii="Times New Roman" w:hAnsi="Times New Roman" w:cs="Times New Roman"/>
                <w:noProof/>
                <w:sz w:val="24"/>
                <w:szCs w:val="24"/>
              </w:rPr>
              <w:t>9.</w:t>
            </w:r>
          </w:p>
        </w:tc>
        <w:tc>
          <w:tcPr>
            <w:tcW w:w="7390" w:type="dxa"/>
          </w:tcPr>
          <w:p w14:paraId="562F533F" w14:textId="4168D411" w:rsidR="003D627F" w:rsidRPr="004D1DFE" w:rsidRDefault="00871F5A" w:rsidP="003B19FE">
            <w:pPr>
              <w:spacing w:before="120" w:after="120"/>
              <w:jc w:val="both"/>
              <w:rPr>
                <w:rFonts w:ascii="Times New Roman" w:hAnsi="Times New Roman" w:cs="Times New Roman"/>
                <w:noProof/>
                <w:sz w:val="24"/>
                <w:szCs w:val="24"/>
              </w:rPr>
            </w:pPr>
            <w:r w:rsidRPr="004D1DFE">
              <w:rPr>
                <w:rFonts w:ascii="Times New Roman" w:hAnsi="Times New Roman" w:cs="Times New Roman"/>
                <w:sz w:val="24"/>
                <w:szCs w:val="24"/>
              </w:rPr>
              <w:t>Launch, via the Horizon Europe Programme, a platform of peer-reviewed open access publishing; analyse authors’ rights to enable sharing of publicly funded peer-reviewed articles without restriction; Ensure a European Open Science Cloud that is offering findable, accessible, interoperable and reusable research data and services (Web of FAIR); and incentivise open science practices by improving the research assessment system.</w:t>
            </w:r>
          </w:p>
        </w:tc>
        <w:tc>
          <w:tcPr>
            <w:tcW w:w="1110" w:type="dxa"/>
          </w:tcPr>
          <w:p w14:paraId="709981D5" w14:textId="6CB98D39" w:rsidR="003D627F" w:rsidRDefault="00644C0F" w:rsidP="004C70A4">
            <w:pPr>
              <w:spacing w:before="120" w:after="120"/>
              <w:rPr>
                <w:rFonts w:ascii="Times New Roman" w:eastAsia="Times New Roman" w:hAnsi="Times New Roman" w:cs="Times New Roman"/>
                <w:noProof/>
                <w:sz w:val="24"/>
                <w:szCs w:val="24"/>
                <w:lang w:eastAsia="en-IE"/>
              </w:rPr>
            </w:pPr>
            <w:r w:rsidRPr="00644C0F">
              <w:rPr>
                <w:rFonts w:ascii="Times New Roman" w:eastAsia="Times New Roman" w:hAnsi="Times New Roman" w:cs="Times New Roman"/>
                <w:noProof/>
                <w:sz w:val="24"/>
                <w:szCs w:val="24"/>
                <w:lang w:eastAsia="en-IE"/>
              </w:rPr>
              <w:t xml:space="preserve">Beginning </w:t>
            </w:r>
            <w:r w:rsidR="00BC3C30">
              <w:rPr>
                <w:rFonts w:ascii="Times New Roman" w:eastAsia="Times New Roman" w:hAnsi="Times New Roman" w:cs="Times New Roman"/>
                <w:noProof/>
                <w:sz w:val="24"/>
                <w:szCs w:val="24"/>
                <w:lang w:eastAsia="en-IE"/>
              </w:rPr>
              <w:t xml:space="preserve">in </w:t>
            </w:r>
            <w:r w:rsidR="003D627F">
              <w:rPr>
                <w:rFonts w:ascii="Times New Roman" w:eastAsia="Times New Roman" w:hAnsi="Times New Roman" w:cs="Times New Roman"/>
                <w:noProof/>
                <w:sz w:val="24"/>
                <w:szCs w:val="24"/>
                <w:lang w:eastAsia="en-IE"/>
              </w:rPr>
              <w:t>2021</w:t>
            </w:r>
          </w:p>
        </w:tc>
      </w:tr>
      <w:tr w:rsidR="003D627F" w14:paraId="4DF747C6" w14:textId="77777777" w:rsidTr="004C70A4">
        <w:tc>
          <w:tcPr>
            <w:tcW w:w="562" w:type="dxa"/>
          </w:tcPr>
          <w:p w14:paraId="41AC26EF" w14:textId="70230ADA" w:rsidR="003D627F" w:rsidRDefault="003D627F" w:rsidP="000F1CE6">
            <w:pPr>
              <w:spacing w:before="120" w:after="120"/>
              <w:jc w:val="both"/>
              <w:rPr>
                <w:rFonts w:ascii="Times New Roman" w:hAnsi="Times New Roman" w:cs="Times New Roman"/>
                <w:noProof/>
                <w:sz w:val="24"/>
                <w:szCs w:val="24"/>
              </w:rPr>
            </w:pPr>
            <w:r>
              <w:rPr>
                <w:rFonts w:ascii="Times New Roman" w:hAnsi="Times New Roman" w:cs="Times New Roman"/>
                <w:noProof/>
                <w:sz w:val="24"/>
                <w:szCs w:val="24"/>
              </w:rPr>
              <w:t>10.</w:t>
            </w:r>
          </w:p>
        </w:tc>
        <w:tc>
          <w:tcPr>
            <w:tcW w:w="7390" w:type="dxa"/>
          </w:tcPr>
          <w:p w14:paraId="202E187C" w14:textId="6D9C6FEF" w:rsidR="003D627F" w:rsidRPr="00A337D8" w:rsidRDefault="003D627F" w:rsidP="000F1CE6">
            <w:pPr>
              <w:spacing w:before="120" w:after="120"/>
              <w:jc w:val="both"/>
              <w:rPr>
                <w:rFonts w:ascii="Times New Roman" w:hAnsi="Times New Roman" w:cs="Times New Roman"/>
                <w:noProof/>
                <w:sz w:val="24"/>
                <w:szCs w:val="24"/>
              </w:rPr>
            </w:pPr>
            <w:r>
              <w:rPr>
                <w:rFonts w:ascii="Times New Roman" w:hAnsi="Times New Roman" w:cs="Times New Roman"/>
                <w:noProof/>
                <w:sz w:val="24"/>
                <w:szCs w:val="24"/>
              </w:rPr>
              <w:t>Implement the EFSRI White Paper and establish an updated governance structure for research and technological infrastructures</w:t>
            </w:r>
          </w:p>
        </w:tc>
        <w:tc>
          <w:tcPr>
            <w:tcW w:w="1110" w:type="dxa"/>
          </w:tcPr>
          <w:p w14:paraId="236DFFB3" w14:textId="5E661208" w:rsidR="003D627F" w:rsidRDefault="00BC3C30" w:rsidP="004C70A4">
            <w:pPr>
              <w:spacing w:before="120" w:after="120"/>
              <w:rPr>
                <w:rFonts w:ascii="Times New Roman" w:eastAsia="Times New Roman" w:hAnsi="Times New Roman" w:cs="Times New Roman"/>
                <w:noProof/>
                <w:sz w:val="24"/>
                <w:szCs w:val="24"/>
                <w:lang w:eastAsia="en-IE"/>
              </w:rPr>
            </w:pPr>
            <w:r>
              <w:rPr>
                <w:rFonts w:ascii="Times New Roman" w:eastAsia="Times New Roman" w:hAnsi="Times New Roman" w:cs="Times New Roman"/>
                <w:noProof/>
                <w:sz w:val="24"/>
                <w:szCs w:val="24"/>
                <w:lang w:eastAsia="en-IE"/>
              </w:rPr>
              <w:t>By the end of</w:t>
            </w:r>
            <w:r w:rsidR="003D627F">
              <w:rPr>
                <w:rFonts w:ascii="Times New Roman" w:eastAsia="Times New Roman" w:hAnsi="Times New Roman" w:cs="Times New Roman"/>
                <w:noProof/>
                <w:sz w:val="24"/>
                <w:szCs w:val="24"/>
                <w:lang w:eastAsia="en-IE"/>
              </w:rPr>
              <w:t xml:space="preserve"> 2021</w:t>
            </w:r>
          </w:p>
        </w:tc>
      </w:tr>
      <w:tr w:rsidR="003D627F" w14:paraId="6A2F6509" w14:textId="77777777" w:rsidTr="004C70A4">
        <w:tc>
          <w:tcPr>
            <w:tcW w:w="562" w:type="dxa"/>
          </w:tcPr>
          <w:p w14:paraId="343166FF" w14:textId="7CF78A1E" w:rsidR="003D627F" w:rsidRDefault="003D627F" w:rsidP="003B19FE">
            <w:pPr>
              <w:spacing w:before="120" w:after="120"/>
              <w:jc w:val="both"/>
              <w:rPr>
                <w:rFonts w:ascii="Times New Roman" w:hAnsi="Times New Roman" w:cs="Times New Roman"/>
                <w:noProof/>
                <w:sz w:val="24"/>
                <w:szCs w:val="24"/>
              </w:rPr>
            </w:pPr>
            <w:r>
              <w:rPr>
                <w:rFonts w:ascii="Times New Roman" w:hAnsi="Times New Roman" w:cs="Times New Roman"/>
                <w:noProof/>
                <w:sz w:val="24"/>
                <w:szCs w:val="24"/>
              </w:rPr>
              <w:lastRenderedPageBreak/>
              <w:t>11.</w:t>
            </w:r>
          </w:p>
        </w:tc>
        <w:tc>
          <w:tcPr>
            <w:tcW w:w="7390" w:type="dxa"/>
          </w:tcPr>
          <w:p w14:paraId="2289574A" w14:textId="28175802" w:rsidR="003D627F" w:rsidRPr="00A337D8" w:rsidRDefault="00A84D64" w:rsidP="00E767BB">
            <w:pPr>
              <w:spacing w:before="120" w:after="120"/>
              <w:jc w:val="both"/>
              <w:rPr>
                <w:rFonts w:ascii="Times New Roman" w:hAnsi="Times New Roman" w:cs="Times New Roman"/>
                <w:noProof/>
                <w:sz w:val="24"/>
                <w:szCs w:val="24"/>
              </w:rPr>
            </w:pPr>
            <w:r w:rsidRPr="00A84D64">
              <w:rPr>
                <w:rFonts w:ascii="Times New Roman" w:hAnsi="Times New Roman" w:cs="Times New Roman"/>
                <w:noProof/>
                <w:sz w:val="24"/>
                <w:szCs w:val="24"/>
              </w:rPr>
              <w:t>Develop a roadmap of actions for creating synergies between higher education and research, notably building on the dual role of universities</w:t>
            </w:r>
          </w:p>
        </w:tc>
        <w:tc>
          <w:tcPr>
            <w:tcW w:w="1110" w:type="dxa"/>
          </w:tcPr>
          <w:p w14:paraId="09E67BFE" w14:textId="70EC2B95" w:rsidR="003D627F" w:rsidRDefault="003D627F" w:rsidP="004C70A4">
            <w:pPr>
              <w:spacing w:before="120" w:after="120"/>
              <w:rPr>
                <w:rFonts w:ascii="Times New Roman" w:eastAsia="Times New Roman" w:hAnsi="Times New Roman" w:cs="Times New Roman"/>
                <w:noProof/>
                <w:sz w:val="24"/>
                <w:szCs w:val="24"/>
                <w:lang w:eastAsia="en-IE"/>
              </w:rPr>
            </w:pPr>
            <w:r>
              <w:rPr>
                <w:rFonts w:ascii="Times New Roman" w:eastAsia="Times New Roman" w:hAnsi="Times New Roman" w:cs="Times New Roman"/>
                <w:noProof/>
                <w:sz w:val="24"/>
                <w:szCs w:val="24"/>
                <w:lang w:eastAsia="en-IE"/>
              </w:rPr>
              <w:t>2021</w:t>
            </w:r>
          </w:p>
        </w:tc>
      </w:tr>
      <w:tr w:rsidR="003D627F" w14:paraId="3373243F" w14:textId="77777777" w:rsidTr="004C70A4">
        <w:tc>
          <w:tcPr>
            <w:tcW w:w="562" w:type="dxa"/>
          </w:tcPr>
          <w:p w14:paraId="1B6E3F2A" w14:textId="3005DF8E" w:rsidR="003D627F" w:rsidRDefault="003D627F" w:rsidP="003B19FE">
            <w:pPr>
              <w:spacing w:before="120" w:after="120"/>
              <w:rPr>
                <w:rFonts w:ascii="Times New Roman" w:hAnsi="Times New Roman" w:cs="Times New Roman"/>
                <w:noProof/>
                <w:sz w:val="24"/>
                <w:szCs w:val="24"/>
              </w:rPr>
            </w:pPr>
            <w:r>
              <w:rPr>
                <w:rFonts w:ascii="Times New Roman" w:hAnsi="Times New Roman" w:cs="Times New Roman"/>
                <w:noProof/>
                <w:sz w:val="24"/>
                <w:szCs w:val="24"/>
              </w:rPr>
              <w:t>12.</w:t>
            </w:r>
          </w:p>
        </w:tc>
        <w:tc>
          <w:tcPr>
            <w:tcW w:w="7390" w:type="dxa"/>
          </w:tcPr>
          <w:p w14:paraId="3743F917" w14:textId="22980085" w:rsidR="003D627F" w:rsidRDefault="003D627F" w:rsidP="00BC3C30">
            <w:pPr>
              <w:spacing w:before="120" w:after="120"/>
              <w:rPr>
                <w:rFonts w:ascii="Times New Roman" w:hAnsi="Times New Roman" w:cs="Times New Roman"/>
                <w:noProof/>
                <w:sz w:val="24"/>
                <w:szCs w:val="24"/>
              </w:rPr>
            </w:pPr>
            <w:r>
              <w:rPr>
                <w:rFonts w:ascii="Times New Roman" w:hAnsi="Times New Roman" w:cs="Times New Roman"/>
                <w:noProof/>
                <w:sz w:val="24"/>
                <w:szCs w:val="24"/>
              </w:rPr>
              <w:t>Develop</w:t>
            </w:r>
            <w:r w:rsidRPr="000643B7">
              <w:rPr>
                <w:rFonts w:ascii="Times New Roman" w:hAnsi="Times New Roman" w:cs="Times New Roman"/>
                <w:noProof/>
                <w:sz w:val="24"/>
                <w:szCs w:val="24"/>
              </w:rPr>
              <w:t xml:space="preserve"> inclusive gender equality plans with Member States and stakeholders in order to promote EU gender equality in R&amp;I </w:t>
            </w:r>
          </w:p>
        </w:tc>
        <w:tc>
          <w:tcPr>
            <w:tcW w:w="1110" w:type="dxa"/>
          </w:tcPr>
          <w:p w14:paraId="45B7B3A2" w14:textId="2F50DCC7" w:rsidR="003D627F" w:rsidRDefault="00BC3C30" w:rsidP="004C70A4">
            <w:pPr>
              <w:spacing w:before="120" w:after="120"/>
              <w:rPr>
                <w:rFonts w:ascii="Times New Roman" w:eastAsia="Times New Roman" w:hAnsi="Times New Roman" w:cs="Times New Roman"/>
                <w:noProof/>
                <w:sz w:val="24"/>
                <w:szCs w:val="24"/>
                <w:lang w:eastAsia="en-IE"/>
              </w:rPr>
            </w:pPr>
            <w:r>
              <w:rPr>
                <w:rFonts w:ascii="Times New Roman" w:eastAsia="Times New Roman" w:hAnsi="Times New Roman" w:cs="Times New Roman"/>
                <w:noProof/>
                <w:sz w:val="24"/>
                <w:szCs w:val="24"/>
                <w:lang w:eastAsia="en-IE"/>
              </w:rPr>
              <w:t>Starting in</w:t>
            </w:r>
            <w:r w:rsidR="003D627F">
              <w:rPr>
                <w:rFonts w:ascii="Times New Roman" w:eastAsia="Times New Roman" w:hAnsi="Times New Roman" w:cs="Times New Roman"/>
                <w:noProof/>
                <w:sz w:val="24"/>
                <w:szCs w:val="24"/>
                <w:lang w:eastAsia="en-IE"/>
              </w:rPr>
              <w:t xml:space="preserve"> 2021</w:t>
            </w:r>
          </w:p>
        </w:tc>
      </w:tr>
      <w:tr w:rsidR="003D627F" w14:paraId="399BE0BB" w14:textId="77777777" w:rsidTr="004C70A4">
        <w:tc>
          <w:tcPr>
            <w:tcW w:w="562" w:type="dxa"/>
          </w:tcPr>
          <w:p w14:paraId="3120A31E" w14:textId="7CA074F1" w:rsidR="003D627F" w:rsidRDefault="003D627F" w:rsidP="003B19FE">
            <w:pPr>
              <w:spacing w:before="120" w:after="120"/>
              <w:rPr>
                <w:rFonts w:ascii="Times New Roman" w:hAnsi="Times New Roman" w:cs="Times New Roman"/>
                <w:noProof/>
                <w:sz w:val="24"/>
                <w:szCs w:val="24"/>
              </w:rPr>
            </w:pPr>
            <w:r>
              <w:rPr>
                <w:rFonts w:ascii="Times New Roman" w:hAnsi="Times New Roman" w:cs="Times New Roman"/>
                <w:noProof/>
                <w:sz w:val="24"/>
                <w:szCs w:val="24"/>
              </w:rPr>
              <w:t>13.</w:t>
            </w:r>
          </w:p>
        </w:tc>
        <w:tc>
          <w:tcPr>
            <w:tcW w:w="7390" w:type="dxa"/>
          </w:tcPr>
          <w:p w14:paraId="634248EB" w14:textId="6F79DD03" w:rsidR="003D627F" w:rsidRPr="000643B7" w:rsidRDefault="003D627F" w:rsidP="003B19FE">
            <w:pPr>
              <w:spacing w:before="120" w:after="120"/>
              <w:rPr>
                <w:rFonts w:ascii="Times New Roman" w:hAnsi="Times New Roman" w:cs="Times New Roman"/>
                <w:noProof/>
                <w:sz w:val="24"/>
                <w:szCs w:val="24"/>
              </w:rPr>
            </w:pPr>
            <w:r>
              <w:rPr>
                <w:rFonts w:ascii="Times New Roman" w:hAnsi="Times New Roman" w:cs="Times New Roman"/>
                <w:noProof/>
                <w:sz w:val="24"/>
                <w:szCs w:val="24"/>
              </w:rPr>
              <w:t>O</w:t>
            </w:r>
            <w:r w:rsidRPr="000643B7">
              <w:rPr>
                <w:rFonts w:ascii="Times New Roman" w:hAnsi="Times New Roman" w:cs="Times New Roman"/>
                <w:noProof/>
                <w:sz w:val="24"/>
                <w:szCs w:val="24"/>
              </w:rPr>
              <w:t>rganise  with Member States and stakeholders Europe-wide participatory citizen science campaigns to raise awareness and networking</w:t>
            </w:r>
          </w:p>
        </w:tc>
        <w:tc>
          <w:tcPr>
            <w:tcW w:w="1110" w:type="dxa"/>
          </w:tcPr>
          <w:p w14:paraId="00F45CE1" w14:textId="4C10835D" w:rsidR="003D627F" w:rsidRDefault="00BC3C30" w:rsidP="004C70A4">
            <w:pPr>
              <w:spacing w:before="120" w:after="120"/>
              <w:rPr>
                <w:rFonts w:ascii="Times New Roman" w:eastAsia="Times New Roman" w:hAnsi="Times New Roman" w:cs="Times New Roman"/>
                <w:noProof/>
                <w:sz w:val="24"/>
                <w:szCs w:val="24"/>
                <w:lang w:eastAsia="en-IE"/>
              </w:rPr>
            </w:pPr>
            <w:r>
              <w:rPr>
                <w:rFonts w:ascii="Times New Roman" w:eastAsia="Times New Roman" w:hAnsi="Times New Roman" w:cs="Times New Roman"/>
                <w:noProof/>
                <w:sz w:val="24"/>
                <w:szCs w:val="24"/>
                <w:lang w:eastAsia="en-IE"/>
              </w:rPr>
              <w:t xml:space="preserve">Starting in </w:t>
            </w:r>
            <w:r w:rsidR="003D627F">
              <w:rPr>
                <w:rFonts w:ascii="Times New Roman" w:eastAsia="Times New Roman" w:hAnsi="Times New Roman" w:cs="Times New Roman"/>
                <w:noProof/>
                <w:sz w:val="24"/>
                <w:szCs w:val="24"/>
                <w:lang w:eastAsia="en-IE"/>
              </w:rPr>
              <w:t>2021</w:t>
            </w:r>
          </w:p>
        </w:tc>
      </w:tr>
      <w:tr w:rsidR="003D627F" w14:paraId="5143FDA3" w14:textId="77777777" w:rsidTr="004C70A4">
        <w:tc>
          <w:tcPr>
            <w:tcW w:w="562" w:type="dxa"/>
          </w:tcPr>
          <w:p w14:paraId="4A18A75E" w14:textId="7FAEB457" w:rsidR="003D627F" w:rsidRDefault="003D627F" w:rsidP="003B19FE">
            <w:pPr>
              <w:spacing w:before="120" w:after="120"/>
              <w:rPr>
                <w:rFonts w:ascii="Times New Roman" w:hAnsi="Times New Roman" w:cs="Times New Roman"/>
                <w:noProof/>
                <w:sz w:val="24"/>
                <w:szCs w:val="24"/>
              </w:rPr>
            </w:pPr>
            <w:r>
              <w:rPr>
                <w:rFonts w:ascii="Times New Roman" w:hAnsi="Times New Roman" w:cs="Times New Roman"/>
                <w:noProof/>
                <w:sz w:val="24"/>
                <w:szCs w:val="24"/>
              </w:rPr>
              <w:t>14</w:t>
            </w:r>
          </w:p>
        </w:tc>
        <w:tc>
          <w:tcPr>
            <w:tcW w:w="7390" w:type="dxa"/>
          </w:tcPr>
          <w:p w14:paraId="2C093A3B" w14:textId="3C58C635" w:rsidR="003D627F" w:rsidRPr="000643B7" w:rsidRDefault="003D627F" w:rsidP="00BC3C30">
            <w:pPr>
              <w:spacing w:before="120" w:after="120"/>
              <w:rPr>
                <w:rFonts w:ascii="Times New Roman" w:hAnsi="Times New Roman" w:cs="Times New Roman"/>
                <w:noProof/>
                <w:sz w:val="24"/>
                <w:szCs w:val="24"/>
              </w:rPr>
            </w:pPr>
            <w:r>
              <w:rPr>
                <w:rFonts w:ascii="Times New Roman" w:hAnsi="Times New Roman" w:cs="Times New Roman"/>
                <w:noProof/>
                <w:sz w:val="24"/>
                <w:szCs w:val="24"/>
              </w:rPr>
              <w:t>D</w:t>
            </w:r>
            <w:r w:rsidRPr="00E87E5B">
              <w:rPr>
                <w:rFonts w:ascii="Times New Roman" w:hAnsi="Times New Roman" w:cs="Times New Roman"/>
                <w:noProof/>
                <w:sz w:val="24"/>
                <w:szCs w:val="24"/>
              </w:rPr>
              <w:t>evelop with Member States an approach to set and implement strategic priorities that deliver on the ERA agenda through the ERA Forum for Transition and by means of a Pact for R&amp;I in Europe.</w:t>
            </w:r>
          </w:p>
        </w:tc>
        <w:tc>
          <w:tcPr>
            <w:tcW w:w="1110" w:type="dxa"/>
          </w:tcPr>
          <w:p w14:paraId="790BB5A2" w14:textId="6B538116" w:rsidR="003D627F" w:rsidRDefault="003D627F" w:rsidP="004C70A4">
            <w:pPr>
              <w:spacing w:before="120" w:after="120"/>
              <w:rPr>
                <w:rFonts w:ascii="Times New Roman" w:eastAsia="Times New Roman" w:hAnsi="Times New Roman" w:cs="Times New Roman"/>
                <w:noProof/>
                <w:sz w:val="24"/>
                <w:szCs w:val="24"/>
                <w:lang w:eastAsia="en-IE"/>
              </w:rPr>
            </w:pPr>
            <w:r>
              <w:rPr>
                <w:rFonts w:ascii="Times New Roman" w:eastAsia="Times New Roman" w:hAnsi="Times New Roman" w:cs="Times New Roman"/>
                <w:noProof/>
                <w:sz w:val="24"/>
                <w:szCs w:val="24"/>
                <w:lang w:eastAsia="en-IE"/>
              </w:rPr>
              <w:t>2021</w:t>
            </w:r>
          </w:p>
        </w:tc>
      </w:tr>
    </w:tbl>
    <w:p w14:paraId="0D5849EA" w14:textId="77777777" w:rsidR="007D2C26" w:rsidRPr="005434F9" w:rsidRDefault="007D2C26" w:rsidP="00655CC0">
      <w:pPr>
        <w:spacing w:before="120" w:after="0" w:line="240" w:lineRule="auto"/>
        <w:jc w:val="both"/>
        <w:rPr>
          <w:color w:val="000000" w:themeColor="text1"/>
          <w:sz w:val="4"/>
        </w:rPr>
      </w:pPr>
    </w:p>
    <w:sectPr w:rsidR="007D2C26" w:rsidRPr="005434F9" w:rsidSect="0006704B">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F6BC150" w16cid:durableId="22CAE56A"/>
  <w16cid:commentId w16cid:paraId="53E3F33A" w16cid:durableId="22CAE56B"/>
  <w16cid:commentId w16cid:paraId="6AF6D7C0" w16cid:durableId="22CAE56C"/>
  <w16cid:commentId w16cid:paraId="1ABFDF3B" w16cid:durableId="22CAE56D"/>
  <w16cid:commentId w16cid:paraId="4036A0FF" w16cid:durableId="22CAE56E"/>
  <w16cid:commentId w16cid:paraId="4DE3A549" w16cid:durableId="22CAE56F"/>
  <w16cid:commentId w16cid:paraId="3148CCF8" w16cid:durableId="22CAE570"/>
  <w16cid:commentId w16cid:paraId="50EC0BB4" w16cid:durableId="22CAE571"/>
  <w16cid:commentId w16cid:paraId="554ECA77" w16cid:durableId="22CAE572"/>
  <w16cid:commentId w16cid:paraId="0A89C86B" w16cid:durableId="22CAE573"/>
  <w16cid:commentId w16cid:paraId="07E4E357" w16cid:durableId="22CB0169"/>
  <w16cid:commentId w16cid:paraId="72F24217" w16cid:durableId="22CB0168"/>
  <w16cid:commentId w16cid:paraId="62DA640C" w16cid:durableId="22CAE574"/>
  <w16cid:commentId w16cid:paraId="0458F3E1" w16cid:durableId="22CAE575"/>
  <w16cid:commentId w16cid:paraId="5FFDDC69" w16cid:durableId="22CAE576"/>
  <w16cid:commentId w16cid:paraId="6F3CFC85" w16cid:durableId="22CAE577"/>
  <w16cid:commentId w16cid:paraId="410385D3" w16cid:durableId="22CAE578"/>
  <w16cid:commentId w16cid:paraId="11B06431" w16cid:durableId="22CAE579"/>
  <w16cid:commentId w16cid:paraId="3700789A" w16cid:durableId="22CAE57A"/>
  <w16cid:commentId w16cid:paraId="4A0F092C" w16cid:durableId="22CAE57B"/>
  <w16cid:commentId w16cid:paraId="281F8CC1" w16cid:durableId="22CAE57C"/>
  <w16cid:commentId w16cid:paraId="5D6795AA" w16cid:durableId="22CAE57D"/>
  <w16cid:commentId w16cid:paraId="114F182F" w16cid:durableId="22CAE57E"/>
  <w16cid:commentId w16cid:paraId="69E57485" w16cid:durableId="22CAE57F"/>
  <w16cid:commentId w16cid:paraId="22B40363" w16cid:durableId="22CAE580"/>
  <w16cid:commentId w16cid:paraId="45423AA7" w16cid:durableId="22CAE581"/>
  <w16cid:commentId w16cid:paraId="6EF2A41C" w16cid:durableId="22CAE582"/>
  <w16cid:commentId w16cid:paraId="6D8EBA62" w16cid:durableId="22CAE583"/>
  <w16cid:commentId w16cid:paraId="2D0766AD" w16cid:durableId="22CAE584"/>
  <w16cid:commentId w16cid:paraId="081FB6E2" w16cid:durableId="22CAE585"/>
  <w16cid:commentId w16cid:paraId="2025973B" w16cid:durableId="22CAE586"/>
  <w16cid:commentId w16cid:paraId="2FBD73A6" w16cid:durableId="22CAE587"/>
  <w16cid:commentId w16cid:paraId="17913751" w16cid:durableId="22CAE588"/>
  <w16cid:commentId w16cid:paraId="66B78C77" w16cid:durableId="22CAE589"/>
  <w16cid:commentId w16cid:paraId="3903DFB0" w16cid:durableId="22CAE58A"/>
  <w16cid:commentId w16cid:paraId="37D41737" w16cid:durableId="22CAE58B"/>
  <w16cid:commentId w16cid:paraId="64A944CB" w16cid:durableId="22CAE58C"/>
  <w16cid:commentId w16cid:paraId="5BA418E4" w16cid:durableId="22CAE58D"/>
  <w16cid:commentId w16cid:paraId="1C566765" w16cid:durableId="22CAE58E"/>
  <w16cid:commentId w16cid:paraId="7C81D600" w16cid:durableId="22CAE58F"/>
  <w16cid:commentId w16cid:paraId="2C45C7F4" w16cid:durableId="22CAE590"/>
  <w16cid:commentId w16cid:paraId="51D95884" w16cid:durableId="22CAE591"/>
  <w16cid:commentId w16cid:paraId="0260E54E" w16cid:durableId="22CAE592"/>
  <w16cid:commentId w16cid:paraId="237B726C" w16cid:durableId="22CAE593"/>
  <w16cid:commentId w16cid:paraId="66374470" w16cid:durableId="22CAE594"/>
  <w16cid:commentId w16cid:paraId="27805416" w16cid:durableId="22CAE595"/>
  <w16cid:commentId w16cid:paraId="51E1692F" w16cid:durableId="22CAE596"/>
  <w16cid:commentId w16cid:paraId="4F8D02A5" w16cid:durableId="22CAE597"/>
  <w16cid:commentId w16cid:paraId="3A87BCE6" w16cid:durableId="22CAE598"/>
  <w16cid:commentId w16cid:paraId="5DAEE4A4" w16cid:durableId="22CAE599"/>
  <w16cid:commentId w16cid:paraId="6FAB5439" w16cid:durableId="22CAE59A"/>
  <w16cid:commentId w16cid:paraId="1ACAF835" w16cid:durableId="22CAE59B"/>
  <w16cid:commentId w16cid:paraId="77A0D980" w16cid:durableId="22CAE59C"/>
  <w16cid:commentId w16cid:paraId="70C4F1F1" w16cid:durableId="22CAE59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C1B55" w14:textId="77777777" w:rsidR="00D464DD" w:rsidRDefault="00D464DD" w:rsidP="007A4D00">
      <w:pPr>
        <w:spacing w:after="0" w:line="240" w:lineRule="auto"/>
      </w:pPr>
      <w:r>
        <w:separator/>
      </w:r>
    </w:p>
  </w:endnote>
  <w:endnote w:type="continuationSeparator" w:id="0">
    <w:p w14:paraId="78DA8DF6" w14:textId="77777777" w:rsidR="00D464DD" w:rsidRDefault="00D464DD" w:rsidP="007A4D00">
      <w:pPr>
        <w:spacing w:after="0" w:line="240" w:lineRule="auto"/>
      </w:pPr>
      <w:r>
        <w:continuationSeparator/>
      </w:r>
    </w:p>
  </w:endnote>
  <w:endnote w:type="continuationNotice" w:id="1">
    <w:p w14:paraId="5027DA2B" w14:textId="77777777" w:rsidR="00D464DD" w:rsidRDefault="00D464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unga">
    <w:altName w:val="Courier New"/>
    <w:panose1 w:val="00000400000000000000"/>
    <w:charset w:val="01"/>
    <w:family w:val="roman"/>
    <w:notTrueType/>
    <w:pitch w:val="variable"/>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A9C30" w14:textId="77777777" w:rsidR="00D441AF" w:rsidRDefault="00D441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B2CE5" w14:textId="76BA10DF" w:rsidR="00D441AF" w:rsidRPr="00D441AF" w:rsidRDefault="00D441AF" w:rsidP="00D441AF">
    <w:pPr>
      <w:pStyle w:val="Footer"/>
      <w:rPr>
        <w:rFonts w:ascii="Arial" w:hAnsi="Arial" w:cs="Arial"/>
        <w:b/>
        <w:sz w:val="48"/>
        <w:szCs w:val="48"/>
        <w:lang w:val="fr-BE"/>
      </w:rPr>
    </w:pPr>
    <w:r w:rsidRPr="00D441AF">
      <w:rPr>
        <w:rFonts w:ascii="Arial" w:hAnsi="Arial" w:cs="Arial"/>
        <w:b/>
        <w:sz w:val="48"/>
        <w:szCs w:val="48"/>
        <w:lang w:val="fr-BE"/>
      </w:rPr>
      <w:t>EN</w:t>
    </w:r>
    <w:r w:rsidRPr="00D441AF">
      <w:rPr>
        <w:rFonts w:ascii="Arial" w:hAnsi="Arial" w:cs="Arial"/>
        <w:b/>
        <w:sz w:val="48"/>
        <w:szCs w:val="48"/>
        <w:lang w:val="fr-BE"/>
      </w:rPr>
      <w:tab/>
    </w:r>
    <w:r w:rsidRPr="00D441AF">
      <w:rPr>
        <w:rFonts w:ascii="Arial" w:hAnsi="Arial" w:cs="Arial"/>
        <w:b/>
        <w:sz w:val="48"/>
        <w:szCs w:val="48"/>
        <w:lang w:val="fr-BE"/>
      </w:rPr>
      <w:tab/>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CD005" w14:textId="77777777" w:rsidR="00D441AF" w:rsidRDefault="00D441A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213DB" w14:textId="77777777" w:rsidR="004E416A" w:rsidRDefault="004E416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211451"/>
      <w:docPartObj>
        <w:docPartGallery w:val="Page Numbers (Bottom of Page)"/>
        <w:docPartUnique/>
      </w:docPartObj>
    </w:sdtPr>
    <w:sdtEndPr>
      <w:rPr>
        <w:noProof/>
      </w:rPr>
    </w:sdtEndPr>
    <w:sdtContent>
      <w:p w14:paraId="5FE51C90" w14:textId="5BBDFDFB" w:rsidR="004E416A" w:rsidRDefault="004E416A">
        <w:pPr>
          <w:pStyle w:val="Footer"/>
          <w:jc w:val="center"/>
        </w:pPr>
        <w:r>
          <w:fldChar w:fldCharType="begin"/>
        </w:r>
        <w:r>
          <w:instrText xml:space="preserve"> PAGE   \* MERGEFORMAT </w:instrText>
        </w:r>
        <w:r>
          <w:fldChar w:fldCharType="separate"/>
        </w:r>
        <w:r w:rsidR="004D1A7E">
          <w:rPr>
            <w:noProof/>
          </w:rPr>
          <w:t>20</w:t>
        </w:r>
        <w:r>
          <w:rPr>
            <w:noProof/>
          </w:rPr>
          <w:fldChar w:fldCharType="end"/>
        </w:r>
      </w:p>
    </w:sdtContent>
  </w:sdt>
  <w:p w14:paraId="7385AB02" w14:textId="77777777" w:rsidR="004E416A" w:rsidRDefault="004E416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B579F" w14:textId="77777777" w:rsidR="004E416A" w:rsidRDefault="004E41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3DD4D1" w14:textId="77777777" w:rsidR="00D464DD" w:rsidRDefault="00D464DD" w:rsidP="007A4D00">
      <w:pPr>
        <w:spacing w:after="0" w:line="240" w:lineRule="auto"/>
      </w:pPr>
      <w:r>
        <w:separator/>
      </w:r>
    </w:p>
  </w:footnote>
  <w:footnote w:type="continuationSeparator" w:id="0">
    <w:p w14:paraId="02A9F83D" w14:textId="77777777" w:rsidR="00D464DD" w:rsidRDefault="00D464DD" w:rsidP="007A4D00">
      <w:pPr>
        <w:spacing w:after="0" w:line="240" w:lineRule="auto"/>
      </w:pPr>
      <w:r>
        <w:continuationSeparator/>
      </w:r>
    </w:p>
  </w:footnote>
  <w:footnote w:type="continuationNotice" w:id="1">
    <w:p w14:paraId="4D617CAE" w14:textId="77777777" w:rsidR="00D464DD" w:rsidRDefault="00D464DD">
      <w:pPr>
        <w:spacing w:after="0" w:line="240" w:lineRule="auto"/>
      </w:pPr>
    </w:p>
  </w:footnote>
  <w:footnote w:id="2">
    <w:p w14:paraId="11165D9F" w14:textId="77777777" w:rsidR="004E416A" w:rsidRPr="00101821" w:rsidRDefault="004E416A" w:rsidP="00EC62CD">
      <w:pPr>
        <w:pStyle w:val="FootnoteText"/>
        <w:jc w:val="both"/>
        <w:rPr>
          <w:rFonts w:ascii="Times New Roman" w:hAnsi="Times New Roman" w:cs="Times New Roman"/>
        </w:rPr>
      </w:pPr>
      <w:r w:rsidRPr="00E108E0">
        <w:rPr>
          <w:rStyle w:val="FootnoteReference"/>
          <w:rFonts w:ascii="Times New Roman" w:hAnsi="Times New Roman" w:cs="Times New Roman"/>
        </w:rPr>
        <w:footnoteRef/>
      </w:r>
      <w:r w:rsidRPr="00101821">
        <w:rPr>
          <w:rFonts w:ascii="Times New Roman" w:hAnsi="Times New Roman" w:cs="Times New Roman"/>
        </w:rPr>
        <w:t xml:space="preserve"> See </w:t>
      </w:r>
      <w:hyperlink r:id="rId1" w:history="1">
        <w:r w:rsidRPr="00C96089">
          <w:rPr>
            <w:rStyle w:val="Hyperlink"/>
            <w:rFonts w:ascii="Times New Roman" w:hAnsi="Times New Roman" w:cs="Times New Roman"/>
          </w:rPr>
          <w:t>http://roadmap2018.esfri.eu/</w:t>
        </w:r>
      </w:hyperlink>
      <w:r>
        <w:rPr>
          <w:rFonts w:ascii="Times New Roman" w:hAnsi="Times New Roman" w:cs="Times New Roman"/>
        </w:rPr>
        <w:t xml:space="preserve"> </w:t>
      </w:r>
    </w:p>
  </w:footnote>
  <w:footnote w:id="3">
    <w:p w14:paraId="47BC46F8" w14:textId="77777777" w:rsidR="004E416A" w:rsidRPr="00C13276" w:rsidRDefault="004E416A" w:rsidP="00240674">
      <w:pPr>
        <w:pStyle w:val="FootnoteText"/>
        <w:rPr>
          <w:rFonts w:ascii="Times New Roman" w:hAnsi="Times New Roman" w:cs="Times New Roman"/>
        </w:rPr>
      </w:pPr>
      <w:r w:rsidRPr="00C13276">
        <w:rPr>
          <w:rStyle w:val="FootnoteReference"/>
          <w:rFonts w:ascii="Times New Roman" w:hAnsi="Times New Roman" w:cs="Times New Roman"/>
        </w:rPr>
        <w:footnoteRef/>
      </w:r>
      <w:r w:rsidRPr="00C13276">
        <w:rPr>
          <w:rFonts w:ascii="Times New Roman" w:hAnsi="Times New Roman" w:cs="Times New Roman"/>
        </w:rPr>
        <w:t xml:space="preserve"> </w:t>
      </w:r>
      <w:hyperlink r:id="rId2" w:history="1">
        <w:r w:rsidRPr="00C13276">
          <w:rPr>
            <w:rStyle w:val="Hyperlink"/>
            <w:rFonts w:ascii="Times New Roman" w:hAnsi="Times New Roman" w:cs="Times New Roman"/>
          </w:rPr>
          <w:t>https://euraxess.ec.europa.eu/euraxess/charter-code-researchers</w:t>
        </w:r>
      </w:hyperlink>
    </w:p>
  </w:footnote>
  <w:footnote w:id="4">
    <w:p w14:paraId="1CFB7F92" w14:textId="77777777" w:rsidR="004E416A" w:rsidRPr="00101821" w:rsidRDefault="004E416A" w:rsidP="00240674">
      <w:pPr>
        <w:pStyle w:val="FootnoteText"/>
        <w:rPr>
          <w:rFonts w:ascii="Times New Roman" w:hAnsi="Times New Roman" w:cs="Times New Roman"/>
        </w:rPr>
      </w:pPr>
      <w:r w:rsidRPr="00E108E0">
        <w:rPr>
          <w:rStyle w:val="FootnoteReference"/>
          <w:rFonts w:ascii="Times New Roman" w:hAnsi="Times New Roman" w:cs="Times New Roman"/>
        </w:rPr>
        <w:footnoteRef/>
      </w:r>
      <w:r w:rsidRPr="00101821">
        <w:rPr>
          <w:rFonts w:ascii="Times New Roman" w:hAnsi="Times New Roman" w:cs="Times New Roman"/>
        </w:rPr>
        <w:t xml:space="preserve"> </w:t>
      </w:r>
      <w:r w:rsidRPr="00D267CE">
        <w:rPr>
          <w:rFonts w:ascii="Times New Roman" w:hAnsi="Times New Roman" w:cs="Times New Roman"/>
        </w:rPr>
        <w:t xml:space="preserve">Researchers in Motion is a unique pan-European initiative </w:t>
      </w:r>
      <w:r>
        <w:rPr>
          <w:rFonts w:ascii="Times New Roman" w:hAnsi="Times New Roman" w:cs="Times New Roman"/>
        </w:rPr>
        <w:t>b</w:t>
      </w:r>
      <w:r w:rsidRPr="00D267CE">
        <w:rPr>
          <w:rFonts w:ascii="Times New Roman" w:hAnsi="Times New Roman" w:cs="Times New Roman"/>
        </w:rPr>
        <w:t xml:space="preserve">acked by the </w:t>
      </w:r>
      <w:r>
        <w:rPr>
          <w:rFonts w:ascii="Times New Roman" w:hAnsi="Times New Roman" w:cs="Times New Roman"/>
        </w:rPr>
        <w:t>EU</w:t>
      </w:r>
      <w:r w:rsidRPr="00D267CE">
        <w:rPr>
          <w:rFonts w:ascii="Times New Roman" w:hAnsi="Times New Roman" w:cs="Times New Roman"/>
        </w:rPr>
        <w:t>, member states and associated countries.</w:t>
      </w:r>
      <w:r>
        <w:rPr>
          <w:rFonts w:ascii="Times New Roman" w:hAnsi="Times New Roman" w:cs="Times New Roman"/>
        </w:rPr>
        <w:t xml:space="preserve"> </w:t>
      </w:r>
      <w:hyperlink r:id="rId3" w:history="1">
        <w:r w:rsidRPr="00C96089">
          <w:rPr>
            <w:rStyle w:val="Hyperlink"/>
            <w:rFonts w:ascii="Times New Roman" w:hAnsi="Times New Roman" w:cs="Times New Roman"/>
          </w:rPr>
          <w:t>https://euraxess.ec.europa.eu/</w:t>
        </w:r>
      </w:hyperlink>
      <w:r>
        <w:rPr>
          <w:rFonts w:ascii="Times New Roman" w:hAnsi="Times New Roman" w:cs="Times New Roman"/>
        </w:rPr>
        <w:t xml:space="preserve">  </w:t>
      </w:r>
    </w:p>
  </w:footnote>
  <w:footnote w:id="5">
    <w:p w14:paraId="7C77A17B" w14:textId="77777777" w:rsidR="004E416A" w:rsidRPr="007B317A" w:rsidRDefault="004E416A" w:rsidP="00BF5F5F">
      <w:pPr>
        <w:pStyle w:val="FootnoteText"/>
      </w:pPr>
      <w:r>
        <w:rPr>
          <w:rStyle w:val="FootnoteReference"/>
        </w:rPr>
        <w:footnoteRef/>
      </w:r>
      <w:r>
        <w:t xml:space="preserve"> </w:t>
      </w:r>
      <w:hyperlink r:id="rId4" w:history="1">
        <w:r w:rsidRPr="00791CA7">
          <w:rPr>
            <w:rStyle w:val="Hyperlink"/>
          </w:rPr>
          <w:t>https://ec.europa.eu/research/openscience/index.cfm?pg=openaccess</w:t>
        </w:r>
      </w:hyperlink>
    </w:p>
  </w:footnote>
  <w:footnote w:id="6">
    <w:p w14:paraId="42122C72" w14:textId="77777777" w:rsidR="004E416A" w:rsidRPr="00C13276" w:rsidRDefault="004E416A" w:rsidP="009A3C9C">
      <w:pPr>
        <w:pStyle w:val="FootnoteText"/>
        <w:rPr>
          <w:rFonts w:ascii="Times New Roman" w:hAnsi="Times New Roman" w:cs="Times New Roman"/>
        </w:rPr>
      </w:pPr>
      <w:r w:rsidRPr="00C13276">
        <w:rPr>
          <w:rStyle w:val="FootnoteReference"/>
          <w:rFonts w:ascii="Times New Roman" w:hAnsi="Times New Roman" w:cs="Times New Roman"/>
        </w:rPr>
        <w:footnoteRef/>
      </w:r>
      <w:r w:rsidRPr="00C13276">
        <w:rPr>
          <w:rFonts w:ascii="Times New Roman" w:hAnsi="Times New Roman" w:cs="Times New Roman"/>
        </w:rPr>
        <w:t xml:space="preserve"> ERA Progress Report 2018 and </w:t>
      </w:r>
      <w:hyperlink r:id="rId5" w:history="1">
        <w:r w:rsidRPr="00C13276">
          <w:rPr>
            <w:rStyle w:val="Hyperlink"/>
            <w:rFonts w:ascii="Times New Roman" w:hAnsi="Times New Roman" w:cs="Times New Roman"/>
          </w:rPr>
          <w:t>https://ec.europa.eu/info/research-and-innovation/strategy/support-policy-making/support-national-research-and-innovation-policy-making/srip-report_en</w:t>
        </w:r>
      </w:hyperlink>
    </w:p>
  </w:footnote>
  <w:footnote w:id="7">
    <w:p w14:paraId="078F7300" w14:textId="77777777" w:rsidR="004E416A" w:rsidRPr="00856B19" w:rsidRDefault="004E416A" w:rsidP="009A3C9C">
      <w:pPr>
        <w:pStyle w:val="FootnoteText"/>
      </w:pPr>
      <w:r>
        <w:rPr>
          <w:rStyle w:val="FootnoteReference"/>
        </w:rPr>
        <w:footnoteRef/>
      </w:r>
      <w:r>
        <w:t xml:space="preserve"> </w:t>
      </w:r>
      <w:r w:rsidRPr="001E49AE">
        <w:rPr>
          <w:rFonts w:ascii="Times New Roman" w:hAnsi="Times New Roman" w:cs="Times New Roman"/>
        </w:rPr>
        <w:t>See Staff Working Document, section 2.1.1.1.</w:t>
      </w:r>
    </w:p>
  </w:footnote>
  <w:footnote w:id="8">
    <w:p w14:paraId="253B86D7" w14:textId="77777777" w:rsidR="004E416A" w:rsidRPr="00C13276" w:rsidRDefault="004E416A" w:rsidP="009A3C9C">
      <w:pPr>
        <w:pStyle w:val="FootnoteText"/>
        <w:rPr>
          <w:rFonts w:ascii="Times New Roman" w:hAnsi="Times New Roman" w:cs="Times New Roman"/>
        </w:rPr>
      </w:pPr>
      <w:r w:rsidRPr="00C13276">
        <w:rPr>
          <w:rStyle w:val="FootnoteReference"/>
          <w:rFonts w:ascii="Times New Roman" w:hAnsi="Times New Roman" w:cs="Times New Roman"/>
        </w:rPr>
        <w:footnoteRef/>
      </w:r>
      <w:r w:rsidRPr="00C13276">
        <w:rPr>
          <w:rFonts w:ascii="Times New Roman" w:hAnsi="Times New Roman" w:cs="Times New Roman"/>
        </w:rPr>
        <w:t xml:space="preserve"> It has increased from 4.4% under FP7 to recently 5.6% under Horizon 2020</w:t>
      </w:r>
    </w:p>
  </w:footnote>
  <w:footnote w:id="9">
    <w:p w14:paraId="77B0B6A6" w14:textId="77777777" w:rsidR="004E416A" w:rsidRPr="008C0D0F" w:rsidRDefault="004E416A" w:rsidP="009A3C9C">
      <w:pPr>
        <w:pStyle w:val="FootnoteText"/>
        <w:rPr>
          <w:rFonts w:ascii="Times New Roman" w:hAnsi="Times New Roman" w:cs="Times New Roman"/>
        </w:rPr>
      </w:pPr>
      <w:r w:rsidRPr="00E108E0">
        <w:rPr>
          <w:rStyle w:val="FootnoteReference"/>
          <w:rFonts w:ascii="Times New Roman" w:hAnsi="Times New Roman" w:cs="Times New Roman"/>
        </w:rPr>
        <w:footnoteRef/>
      </w:r>
      <w:r w:rsidRPr="008C0D0F">
        <w:rPr>
          <w:rFonts w:ascii="Times New Roman" w:hAnsi="Times New Roman" w:cs="Times New Roman"/>
        </w:rPr>
        <w:t xml:space="preserve"> "An Analysis of the International Positioning of the EU Using Revealed Comparative Advantages and the Control of Key Technologies", E</w:t>
      </w:r>
      <w:r>
        <w:rPr>
          <w:rFonts w:ascii="Times New Roman" w:hAnsi="Times New Roman" w:cs="Times New Roman"/>
        </w:rPr>
        <w:t xml:space="preserve">uropean </w:t>
      </w:r>
      <w:r w:rsidRPr="008C0D0F">
        <w:rPr>
          <w:rFonts w:ascii="Times New Roman" w:hAnsi="Times New Roman" w:cs="Times New Roman"/>
        </w:rPr>
        <w:t>C</w:t>
      </w:r>
      <w:r>
        <w:rPr>
          <w:rFonts w:ascii="Times New Roman" w:hAnsi="Times New Roman" w:cs="Times New Roman"/>
        </w:rPr>
        <w:t>ommission</w:t>
      </w:r>
    </w:p>
  </w:footnote>
  <w:footnote w:id="10">
    <w:p w14:paraId="515C089F" w14:textId="77777777" w:rsidR="004E416A" w:rsidRPr="00E108E0" w:rsidRDefault="004E416A" w:rsidP="009A3C9C">
      <w:pPr>
        <w:pStyle w:val="FootnoteText"/>
        <w:rPr>
          <w:rFonts w:ascii="Times New Roman" w:hAnsi="Times New Roman" w:cs="Times New Roman"/>
          <w:lang w:val="en-US"/>
        </w:rPr>
      </w:pPr>
      <w:r w:rsidRPr="00E108E0">
        <w:rPr>
          <w:rStyle w:val="FootnoteReference"/>
          <w:rFonts w:ascii="Times New Roman" w:hAnsi="Times New Roman" w:cs="Times New Roman"/>
        </w:rPr>
        <w:footnoteRef/>
      </w:r>
      <w:r w:rsidRPr="008C0D0F">
        <w:rPr>
          <w:rFonts w:ascii="Times New Roman" w:hAnsi="Times New Roman" w:cs="Times New Roman"/>
        </w:rPr>
        <w:t xml:space="preserve"> </w:t>
      </w:r>
      <w:r w:rsidRPr="00E108E0">
        <w:rPr>
          <w:rFonts w:ascii="Times New Roman" w:hAnsi="Times New Roman" w:cs="Times New Roman"/>
          <w:lang w:val="en-US"/>
        </w:rPr>
        <w:t>See e.g. OECD STI Scoreboard 2017, http://dx.doi.org/10.1787/888933616940: Out of the 20 emerging ICT technologies identified in the report, none is led by EU27. See also EU Industrial Scoreboard 2019</w:t>
      </w:r>
    </w:p>
  </w:footnote>
  <w:footnote w:id="11">
    <w:p w14:paraId="52C3A197" w14:textId="77777777" w:rsidR="004E416A" w:rsidRPr="00E63514" w:rsidRDefault="004E416A" w:rsidP="009A3C9C">
      <w:pPr>
        <w:pStyle w:val="FootnoteText"/>
        <w:rPr>
          <w:lang w:val="en-US"/>
        </w:rPr>
      </w:pPr>
      <w:r>
        <w:rPr>
          <w:rStyle w:val="FootnoteReference"/>
        </w:rPr>
        <w:footnoteRef/>
      </w:r>
      <w:r w:rsidRPr="00E63514">
        <w:rPr>
          <w:lang w:val="en-US"/>
        </w:rPr>
        <w:t xml:space="preserve"> </w:t>
      </w:r>
      <w:r w:rsidRPr="00E63514">
        <w:rPr>
          <w:rFonts w:ascii="Times New Roman" w:hAnsi="Times New Roman" w:cs="Times New Roman"/>
        </w:rPr>
        <w:t>The share of innovative firms cooperating with knowledge institutes is only 15% (2016). The share of public research financed by the private sector is only 7.2% (2017) and has been slowly declining since 2007</w:t>
      </w:r>
      <w:r>
        <w:rPr>
          <w:rFonts w:ascii="Times New Roman" w:hAnsi="Times New Roman" w:cs="Times New Roman"/>
        </w:rPr>
        <w:t xml:space="preserve"> </w:t>
      </w:r>
    </w:p>
  </w:footnote>
  <w:footnote w:id="12">
    <w:p w14:paraId="60CA78FE" w14:textId="77777777" w:rsidR="004E416A" w:rsidRPr="00620331" w:rsidRDefault="004E416A" w:rsidP="006A7BE1">
      <w:pPr>
        <w:pStyle w:val="FootnoteText"/>
        <w:rPr>
          <w:rFonts w:ascii="Times New Roman" w:hAnsi="Times New Roman" w:cs="Times New Roman"/>
        </w:rPr>
      </w:pPr>
      <w:r w:rsidRPr="00750953">
        <w:rPr>
          <w:rStyle w:val="FootnoteReference"/>
          <w:rFonts w:ascii="Times New Roman" w:hAnsi="Times New Roman" w:cs="Times New Roman"/>
        </w:rPr>
        <w:footnoteRef/>
      </w:r>
      <w:r w:rsidRPr="00750953">
        <w:rPr>
          <w:rFonts w:ascii="Times New Roman" w:hAnsi="Times New Roman" w:cs="Times New Roman"/>
        </w:rPr>
        <w:t xml:space="preserve"> </w:t>
      </w:r>
      <w:hyperlink r:id="rId6" w:history="1">
        <w:r w:rsidRPr="0018249A">
          <w:rPr>
            <w:rStyle w:val="Hyperlink"/>
            <w:rFonts w:ascii="Times New Roman" w:hAnsi="Times New Roman" w:cs="Times New Roman"/>
          </w:rPr>
          <w:t>IPCC Special Report</w:t>
        </w:r>
      </w:hyperlink>
      <w:r w:rsidRPr="00620331">
        <w:rPr>
          <w:rFonts w:ascii="Times New Roman" w:hAnsi="Times New Roman" w:cs="Times New Roman"/>
        </w:rPr>
        <w:t xml:space="preserve"> on the impacts of global warming of 1.5°C (2018)</w:t>
      </w:r>
    </w:p>
  </w:footnote>
  <w:footnote w:id="13">
    <w:p w14:paraId="2494061B" w14:textId="77777777" w:rsidR="004E368A" w:rsidRPr="00F63FCB" w:rsidRDefault="004E368A" w:rsidP="004E368A">
      <w:pPr>
        <w:pStyle w:val="FootnoteText"/>
        <w:rPr>
          <w:rFonts w:ascii="Times New Roman" w:hAnsi="Times New Roman" w:cs="Times New Roman"/>
        </w:rPr>
      </w:pPr>
      <w:r w:rsidRPr="00620331">
        <w:rPr>
          <w:rStyle w:val="FootnoteReference"/>
          <w:rFonts w:ascii="Times New Roman" w:hAnsi="Times New Roman" w:cs="Times New Roman"/>
        </w:rPr>
        <w:footnoteRef/>
      </w:r>
      <w:r w:rsidRPr="00F63FCB">
        <w:rPr>
          <w:rFonts w:ascii="Times New Roman" w:hAnsi="Times New Roman" w:cs="Times New Roman"/>
        </w:rPr>
        <w:t xml:space="preserve"> </w:t>
      </w:r>
      <w:proofErr w:type="gramStart"/>
      <w:r w:rsidRPr="00F74968">
        <w:rPr>
          <w:rFonts w:ascii="Times New Roman" w:hAnsi="Times New Roman" w:cs="Times New Roman"/>
        </w:rPr>
        <w:t>COM(</w:t>
      </w:r>
      <w:proofErr w:type="gramEnd"/>
      <w:r w:rsidRPr="00F74968">
        <w:rPr>
          <w:rFonts w:ascii="Times New Roman" w:hAnsi="Times New Roman" w:cs="Times New Roman"/>
        </w:rPr>
        <w:t xml:space="preserve">2019) 640, European Council conclusions of 12 December 2019 and </w:t>
      </w:r>
      <w:hyperlink r:id="rId7" w:history="1">
        <w:r w:rsidRPr="00F74968">
          <w:rPr>
            <w:rStyle w:val="Hyperlink"/>
            <w:rFonts w:ascii="Times New Roman" w:hAnsi="Times New Roman" w:cs="Times New Roman"/>
          </w:rPr>
          <w:t>Paris Agreement</w:t>
        </w:r>
      </w:hyperlink>
      <w:r w:rsidRPr="00F74968">
        <w:rPr>
          <w:rFonts w:ascii="Times New Roman" w:hAnsi="Times New Roman" w:cs="Times New Roman"/>
        </w:rPr>
        <w:t xml:space="preserve"> (2016). </w:t>
      </w:r>
    </w:p>
  </w:footnote>
  <w:footnote w:id="14">
    <w:p w14:paraId="07FC1867" w14:textId="77777777" w:rsidR="004E416A" w:rsidRDefault="004E416A" w:rsidP="00092A79">
      <w:pPr>
        <w:pStyle w:val="FootnoteText"/>
        <w:rPr>
          <w:rFonts w:ascii="Times New Roman" w:hAnsi="Times New Roman" w:cs="Times New Roman"/>
          <w:sz w:val="18"/>
          <w:szCs w:val="18"/>
        </w:rPr>
      </w:pPr>
      <w:r>
        <w:rPr>
          <w:rStyle w:val="FootnoteReference"/>
          <w:sz w:val="18"/>
          <w:szCs w:val="18"/>
        </w:rPr>
        <w:footnoteRef/>
      </w:r>
      <w:r>
        <w:rPr>
          <w:rFonts w:ascii="Times New Roman" w:hAnsi="Times New Roman" w:cs="Times New Roman"/>
          <w:sz w:val="18"/>
          <w:szCs w:val="18"/>
        </w:rPr>
        <w:t xml:space="preserve"> Including photovoltaic</w:t>
      </w:r>
      <w:r>
        <w:rPr>
          <w:rFonts w:ascii="Times New Roman" w:hAnsi="Times New Roman" w:cs="Times New Roman"/>
          <w:color w:val="000000" w:themeColor="text1"/>
          <w:sz w:val="18"/>
          <w:szCs w:val="18"/>
        </w:rPr>
        <w:t>, batteries, renewable hydrogen, wind and ocean energy, grid and electronic components</w:t>
      </w:r>
    </w:p>
  </w:footnote>
  <w:footnote w:id="15">
    <w:p w14:paraId="698A8719" w14:textId="0DE34114" w:rsidR="004E416A" w:rsidRPr="004E416A" w:rsidRDefault="004E416A">
      <w:pPr>
        <w:pStyle w:val="FootnoteText"/>
        <w:rPr>
          <w:lang w:val="pt-PT"/>
        </w:rPr>
      </w:pPr>
      <w:r>
        <w:rPr>
          <w:rStyle w:val="FootnoteReference"/>
        </w:rPr>
        <w:footnoteRef/>
      </w:r>
      <w:r w:rsidRPr="004E416A">
        <w:rPr>
          <w:lang w:val="pt-PT"/>
        </w:rPr>
        <w:t xml:space="preserve"> </w:t>
      </w:r>
      <w:r w:rsidRPr="004E416A">
        <w:rPr>
          <w:rFonts w:ascii="Times New Roman" w:hAnsi="Times New Roman" w:cs="Times New Roman"/>
          <w:lang w:val="pt-PT"/>
        </w:rPr>
        <w:t>COM(2020)564.</w:t>
      </w:r>
    </w:p>
  </w:footnote>
  <w:footnote w:id="16">
    <w:p w14:paraId="128B9CDE" w14:textId="77777777" w:rsidR="004E416A" w:rsidRPr="004C70A4" w:rsidRDefault="004E416A" w:rsidP="008416FC">
      <w:pPr>
        <w:pStyle w:val="FootnoteText"/>
        <w:rPr>
          <w:rFonts w:ascii="Times New Roman" w:hAnsi="Times New Roman"/>
          <w:lang w:val="pt-PT"/>
        </w:rPr>
      </w:pPr>
      <w:r w:rsidRPr="0018249A">
        <w:rPr>
          <w:rStyle w:val="FootnoteReference"/>
          <w:rFonts w:ascii="Times New Roman" w:hAnsi="Times New Roman" w:cs="Times New Roman"/>
        </w:rPr>
        <w:footnoteRef/>
      </w:r>
      <w:r w:rsidRPr="004C70A4">
        <w:rPr>
          <w:rFonts w:ascii="Times New Roman" w:hAnsi="Times New Roman"/>
          <w:lang w:val="pt-PT"/>
        </w:rPr>
        <w:t xml:space="preserve"> https://ec.europa.eu/info/research-and-innovation/strategy/era_en#eravscorona-action-plan</w:t>
      </w:r>
    </w:p>
  </w:footnote>
  <w:footnote w:id="17">
    <w:p w14:paraId="110DAE8B" w14:textId="77777777" w:rsidR="004E416A" w:rsidRPr="004C70A4" w:rsidRDefault="004E416A" w:rsidP="008416FC">
      <w:pPr>
        <w:pStyle w:val="FootnoteText"/>
        <w:rPr>
          <w:lang w:val="pt-PT"/>
        </w:rPr>
      </w:pPr>
      <w:r w:rsidRPr="0018249A">
        <w:rPr>
          <w:rStyle w:val="FootnoteReference"/>
          <w:rFonts w:ascii="Times New Roman" w:hAnsi="Times New Roman" w:cs="Times New Roman"/>
        </w:rPr>
        <w:footnoteRef/>
      </w:r>
      <w:r w:rsidRPr="004C70A4">
        <w:rPr>
          <w:rFonts w:ascii="Times New Roman" w:hAnsi="Times New Roman"/>
          <w:lang w:val="pt-PT"/>
        </w:rPr>
        <w:t xml:space="preserve"> https://global-response.europa.eu/index_en</w:t>
      </w:r>
    </w:p>
  </w:footnote>
  <w:footnote w:id="18">
    <w:p w14:paraId="1C181BE4" w14:textId="6966BAE2" w:rsidR="004E416A" w:rsidRPr="00C02AD4" w:rsidRDefault="004E416A" w:rsidP="00DC7EA8">
      <w:pPr>
        <w:pStyle w:val="FootnoteText"/>
        <w:rPr>
          <w:rFonts w:ascii="Times New Roman" w:hAnsi="Times New Roman" w:cs="Times New Roman"/>
        </w:rPr>
      </w:pPr>
      <w:r>
        <w:rPr>
          <w:rStyle w:val="FootnoteReference"/>
        </w:rPr>
        <w:footnoteRef/>
      </w:r>
      <w:r>
        <w:rPr>
          <w:rFonts w:ascii="Times New Roman" w:hAnsi="Times New Roman" w:cs="Times New Roman"/>
        </w:rPr>
        <w:t xml:space="preserve"> Two thirds of economic growth in Europe from 2010 to 2016 can be traced back to R&amp;I defined in a broad sense (SRIP 2020,p. 101) </w:t>
      </w:r>
    </w:p>
  </w:footnote>
  <w:footnote w:id="19">
    <w:p w14:paraId="3235322B" w14:textId="5AB82459" w:rsidR="004E416A" w:rsidRPr="00F74968" w:rsidRDefault="004E416A" w:rsidP="00F74968">
      <w:pPr>
        <w:pStyle w:val="FootnoteText"/>
        <w:jc w:val="both"/>
        <w:rPr>
          <w:lang w:val="en-US"/>
        </w:rPr>
      </w:pPr>
      <w:r>
        <w:rPr>
          <w:rStyle w:val="FootnoteReference"/>
        </w:rPr>
        <w:footnoteRef/>
      </w:r>
      <w:r>
        <w:t xml:space="preserve"> </w:t>
      </w:r>
      <w:r>
        <w:rPr>
          <w:rFonts w:ascii="Times New Roman" w:hAnsi="Times New Roman" w:cs="Times New Roman"/>
        </w:rPr>
        <w:t>In this context,</w:t>
      </w:r>
      <w:r w:rsidRPr="00F74968">
        <w:rPr>
          <w:rFonts w:ascii="Times New Roman" w:hAnsi="Times New Roman" w:cs="Times New Roman"/>
        </w:rPr>
        <w:t xml:space="preserve"> excellence means the commitment </w:t>
      </w:r>
      <w:r>
        <w:rPr>
          <w:rFonts w:ascii="Times New Roman" w:hAnsi="Times New Roman" w:cs="Times New Roman"/>
        </w:rPr>
        <w:t>to</w:t>
      </w:r>
      <w:r w:rsidRPr="00F74968">
        <w:rPr>
          <w:rFonts w:ascii="Times New Roman" w:hAnsi="Times New Roman" w:cs="Times New Roman"/>
        </w:rPr>
        <w:t xml:space="preserve"> supporting the best possible research teams and projects, irrespective of any considerations</w:t>
      </w:r>
      <w:r>
        <w:rPr>
          <w:rFonts w:ascii="Times New Roman" w:hAnsi="Times New Roman" w:cs="Times New Roman"/>
        </w:rPr>
        <w:t>.</w:t>
      </w:r>
    </w:p>
  </w:footnote>
  <w:footnote w:id="20">
    <w:p w14:paraId="28CABAA0" w14:textId="77777777" w:rsidR="004E416A" w:rsidRPr="00F12C8B" w:rsidRDefault="004E416A" w:rsidP="00CC4656">
      <w:pPr>
        <w:pStyle w:val="FootnoteText"/>
        <w:rPr>
          <w:rFonts w:ascii="Times New Roman" w:hAnsi="Times New Roman" w:cs="Times New Roman"/>
        </w:rPr>
      </w:pPr>
      <w:r w:rsidRPr="00F12C8B">
        <w:rPr>
          <w:rStyle w:val="FootnoteReference"/>
          <w:rFonts w:ascii="Times New Roman" w:hAnsi="Times New Roman" w:cs="Times New Roman"/>
        </w:rPr>
        <w:footnoteRef/>
      </w:r>
      <w:r w:rsidRPr="00F12C8B">
        <w:rPr>
          <w:rFonts w:ascii="Times New Roman" w:hAnsi="Times New Roman" w:cs="Times New Roman"/>
        </w:rPr>
        <w:t xml:space="preserve"> </w:t>
      </w:r>
      <w:hyperlink r:id="rId8" w:history="1">
        <w:r w:rsidRPr="00F12C8B">
          <w:rPr>
            <w:rStyle w:val="Hyperlink"/>
            <w:rFonts w:ascii="Times New Roman" w:hAnsi="Times New Roman" w:cs="Times New Roman"/>
          </w:rPr>
          <w:t>https://www.consilium.europa.eu/media/45109/210720-euco-final-conclusions-en.pdf</w:t>
        </w:r>
      </w:hyperlink>
    </w:p>
  </w:footnote>
  <w:footnote w:id="21">
    <w:p w14:paraId="6BA37AB7" w14:textId="75459789" w:rsidR="004E416A" w:rsidRPr="006653BE" w:rsidRDefault="004E416A">
      <w:pPr>
        <w:pStyle w:val="FootnoteText"/>
      </w:pPr>
      <w:r>
        <w:rPr>
          <w:rStyle w:val="FootnoteReference"/>
        </w:rPr>
        <w:footnoteRef/>
      </w:r>
      <w:r>
        <w:t xml:space="preserve"> </w:t>
      </w:r>
      <w:r w:rsidRPr="00F12C8B">
        <w:rPr>
          <w:rFonts w:ascii="Times New Roman" w:hAnsi="Times New Roman" w:cs="Times New Roman"/>
        </w:rPr>
        <w:t>ERAC 1201/20 of 23 January 2020</w:t>
      </w:r>
      <w:r>
        <w:rPr>
          <w:rFonts w:ascii="Times New Roman" w:hAnsi="Times New Roman" w:cs="Times New Roman"/>
        </w:rPr>
        <w:t>; I</w:t>
      </w:r>
      <w:r w:rsidRPr="000402B1">
        <w:rPr>
          <w:rFonts w:ascii="Times New Roman" w:hAnsi="Times New Roman" w:cs="Times New Roman"/>
        </w:rPr>
        <w:t>nformal Research Ministerial meeting of Competitiveness (Research) of July 2020</w:t>
      </w:r>
    </w:p>
  </w:footnote>
  <w:footnote w:id="22">
    <w:p w14:paraId="2D125B0E" w14:textId="77777777" w:rsidR="004E416A" w:rsidRPr="00632797" w:rsidRDefault="004E416A">
      <w:pPr>
        <w:pStyle w:val="FootnoteText"/>
      </w:pPr>
      <w:r w:rsidRPr="00632797">
        <w:rPr>
          <w:rStyle w:val="FootnoteReference"/>
        </w:rPr>
        <w:footnoteRef/>
      </w:r>
      <w:r w:rsidRPr="00632797">
        <w:t xml:space="preserve"> </w:t>
      </w:r>
      <w:r w:rsidRPr="00632797">
        <w:rPr>
          <w:rFonts w:ascii="Times New Roman" w:hAnsi="Times New Roman" w:cs="Times New Roman"/>
        </w:rPr>
        <w:t>ERAC Opinion,</w:t>
      </w:r>
      <w:r>
        <w:rPr>
          <w:rFonts w:ascii="Times New Roman" w:hAnsi="Times New Roman" w:cs="Times New Roman"/>
        </w:rPr>
        <w:t xml:space="preserve"> </w:t>
      </w:r>
      <w:r w:rsidRPr="00A04CDB">
        <w:rPr>
          <w:rFonts w:ascii="Times New Roman" w:hAnsi="Times New Roman" w:cs="Times New Roman"/>
        </w:rPr>
        <w:t>Council document 14989/18 of 30 November 2018</w:t>
      </w:r>
      <w:r>
        <w:rPr>
          <w:rFonts w:ascii="Times New Roman" w:hAnsi="Times New Roman" w:cs="Times New Roman"/>
        </w:rPr>
        <w:t>,</w:t>
      </w:r>
      <w:r w:rsidRPr="00632797">
        <w:rPr>
          <w:rFonts w:ascii="Times New Roman" w:hAnsi="Times New Roman" w:cs="Times New Roman"/>
        </w:rPr>
        <w:t xml:space="preserve"> page 6. </w:t>
      </w:r>
      <w:r w:rsidRPr="00A04CDB">
        <w:rPr>
          <w:rFonts w:ascii="Times New Roman" w:hAnsi="Times New Roman" w:cs="Times New Roman"/>
        </w:rPr>
        <w:t>See Staff Working Document, p. 93, for the mandate of the European Research Area and Innovation Committee.</w:t>
      </w:r>
    </w:p>
  </w:footnote>
  <w:footnote w:id="23">
    <w:p w14:paraId="343BF14B" w14:textId="77777777" w:rsidR="004E416A" w:rsidRPr="005246E6" w:rsidRDefault="004E416A" w:rsidP="006B1FBC">
      <w:pPr>
        <w:pStyle w:val="FootnoteText"/>
        <w:jc w:val="both"/>
        <w:rPr>
          <w:rFonts w:ascii="Times New Roman" w:hAnsi="Times New Roman" w:cs="Times New Roman"/>
        </w:rPr>
      </w:pPr>
      <w:r w:rsidRPr="005246E6">
        <w:rPr>
          <w:rStyle w:val="FootnoteReference"/>
          <w:rFonts w:ascii="Times New Roman" w:hAnsi="Times New Roman" w:cs="Times New Roman"/>
        </w:rPr>
        <w:footnoteRef/>
      </w:r>
      <w:r w:rsidRPr="005246E6">
        <w:rPr>
          <w:rFonts w:ascii="Times New Roman" w:hAnsi="Times New Roman" w:cs="Times New Roman"/>
          <w:lang w:val="en-US"/>
        </w:rPr>
        <w:t xml:space="preserve">Horizon </w:t>
      </w:r>
      <w:r w:rsidRPr="005246E6">
        <w:rPr>
          <w:rFonts w:ascii="Times New Roman" w:hAnsi="Times New Roman" w:cs="Times New Roman"/>
        </w:rPr>
        <w:t>2020 introduced 7 Societal Challenges and Focus Areas cutting across societal challenges (i.e. circular economy or digitalisation)</w:t>
      </w:r>
      <w:r>
        <w:rPr>
          <w:rFonts w:ascii="Times New Roman" w:hAnsi="Times New Roman" w:cs="Times New Roman"/>
        </w:rPr>
        <w:t>. Other elements such as policy experimentation are also being tested.</w:t>
      </w:r>
    </w:p>
  </w:footnote>
  <w:footnote w:id="24">
    <w:p w14:paraId="62787445" w14:textId="34D69EB1" w:rsidR="004E416A" w:rsidRPr="004C70A4" w:rsidRDefault="004E416A">
      <w:pPr>
        <w:pStyle w:val="FootnoteText"/>
        <w:rPr>
          <w:rFonts w:ascii="Times New Roman" w:hAnsi="Times New Roman"/>
        </w:rPr>
      </w:pPr>
      <w:r>
        <w:rPr>
          <w:rStyle w:val="FootnoteReference"/>
        </w:rPr>
        <w:footnoteRef/>
      </w:r>
      <w:r>
        <w:t xml:space="preserve"> </w:t>
      </w:r>
      <w:r w:rsidRPr="004C70A4">
        <w:rPr>
          <w:rFonts w:ascii="Times New Roman" w:hAnsi="Times New Roman"/>
        </w:rPr>
        <w:t>Missions are a novelty under Horizon Europe aiming to tackle complex challenges through an inclusive and deliberative approach.</w:t>
      </w:r>
    </w:p>
  </w:footnote>
  <w:footnote w:id="25">
    <w:p w14:paraId="3386F457" w14:textId="5828F141" w:rsidR="004E416A" w:rsidRPr="004E416A" w:rsidRDefault="004E416A">
      <w:pPr>
        <w:pStyle w:val="FootnoteText"/>
        <w:rPr>
          <w:lang w:val="da-DK"/>
        </w:rPr>
      </w:pPr>
      <w:r>
        <w:rPr>
          <w:rStyle w:val="FootnoteReference"/>
        </w:rPr>
        <w:footnoteRef/>
      </w:r>
      <w:r w:rsidRPr="004E416A">
        <w:rPr>
          <w:lang w:val="da-DK"/>
        </w:rPr>
        <w:t xml:space="preserve"> </w:t>
      </w:r>
      <w:r w:rsidRPr="004E416A">
        <w:rPr>
          <w:rFonts w:ascii="Times New Roman" w:hAnsi="Times New Roman" w:cs="Times New Roman"/>
          <w:lang w:val="da-DK"/>
        </w:rPr>
        <w:t>JRC SETIS https://setis.ec.europa.eu/publications/setis-research-innovation-data</w:t>
      </w:r>
    </w:p>
  </w:footnote>
  <w:footnote w:id="26">
    <w:p w14:paraId="34014C6E" w14:textId="0F8CDCCE" w:rsidR="004E416A" w:rsidRDefault="004E416A" w:rsidP="00CB69A5">
      <w:pPr>
        <w:pStyle w:val="FootnoteText"/>
      </w:pPr>
      <w:r>
        <w:rPr>
          <w:rStyle w:val="FootnoteReference"/>
        </w:rPr>
        <w:footnoteRef/>
      </w:r>
      <w:r>
        <w:t xml:space="preserve"> </w:t>
      </w:r>
      <w:r w:rsidRPr="00657825">
        <w:rPr>
          <w:rFonts w:ascii="Times New Roman" w:hAnsi="Times New Roman" w:cs="Times New Roman"/>
        </w:rPr>
        <w:t>In 2019 all Member States of the EU received a country specific recommendation that called for R&amp;I investments</w:t>
      </w:r>
    </w:p>
  </w:footnote>
  <w:footnote w:id="27">
    <w:p w14:paraId="3A96CA6D" w14:textId="2AC800F9" w:rsidR="004E416A" w:rsidRPr="00541146" w:rsidRDefault="004E416A">
      <w:pPr>
        <w:pStyle w:val="FootnoteText"/>
      </w:pPr>
      <w:r>
        <w:rPr>
          <w:rStyle w:val="FootnoteReference"/>
        </w:rPr>
        <w:footnoteRef/>
      </w:r>
      <w:r>
        <w:t xml:space="preserve"> </w:t>
      </w:r>
      <w:r w:rsidRPr="004C70A4">
        <w:rPr>
          <w:rFonts w:ascii="Times New Roman" w:hAnsi="Times New Roman"/>
        </w:rPr>
        <w:t>https://ec.europa.eu/commission/presscorner/detail/en/IP_20_1658</w:t>
      </w:r>
    </w:p>
  </w:footnote>
  <w:footnote w:id="28">
    <w:p w14:paraId="0CAD96AD" w14:textId="77777777" w:rsidR="004E416A" w:rsidRPr="007859DE" w:rsidRDefault="004E416A" w:rsidP="0035342E">
      <w:pPr>
        <w:pStyle w:val="FootnoteText"/>
        <w:rPr>
          <w:lang w:val="en-US"/>
        </w:rPr>
      </w:pPr>
      <w:r>
        <w:rPr>
          <w:rStyle w:val="FootnoteReference"/>
        </w:rPr>
        <w:footnoteRef/>
      </w:r>
      <w:r>
        <w:t xml:space="preserve"> </w:t>
      </w:r>
      <w:proofErr w:type="spellStart"/>
      <w:r w:rsidRPr="00F74968">
        <w:rPr>
          <w:rFonts w:ascii="Times New Roman" w:hAnsi="Times New Roman" w:cs="Times New Roman"/>
        </w:rPr>
        <w:t>Cf</w:t>
      </w:r>
      <w:proofErr w:type="spellEnd"/>
      <w:r w:rsidRPr="00F74968">
        <w:rPr>
          <w:rFonts w:ascii="Times New Roman" w:hAnsi="Times New Roman" w:cs="Times New Roman"/>
        </w:rPr>
        <w:t xml:space="preserve"> Commission staff working document, Commission guidance to Member States, Recovery and resilience plans, COM (2020) 205; 17.09.2020.</w:t>
      </w:r>
    </w:p>
  </w:footnote>
  <w:footnote w:id="29">
    <w:p w14:paraId="6C022E13" w14:textId="77777777" w:rsidR="004E416A" w:rsidRPr="00F84668" w:rsidRDefault="004E416A">
      <w:pPr>
        <w:pStyle w:val="FootnoteText"/>
      </w:pPr>
      <w:r w:rsidRPr="00F84668">
        <w:rPr>
          <w:rStyle w:val="FootnoteReference"/>
          <w:rFonts w:ascii="Times New Roman" w:hAnsi="Times New Roman" w:cs="Times New Roman"/>
        </w:rPr>
        <w:footnoteRef/>
      </w:r>
      <w:r w:rsidRPr="00F84668">
        <w:rPr>
          <w:rFonts w:ascii="Times New Roman" w:hAnsi="Times New Roman" w:cs="Times New Roman"/>
        </w:rPr>
        <w:t xml:space="preserve"> </w:t>
      </w:r>
      <w:hyperlink r:id="rId9" w:history="1">
        <w:r w:rsidRPr="00F84668">
          <w:rPr>
            <w:rStyle w:val="Hyperlink"/>
            <w:rFonts w:ascii="Times New Roman" w:hAnsi="Times New Roman" w:cs="Times New Roman"/>
          </w:rPr>
          <w:t>https://ec.europa.eu/info/horizon-europe-next-research-and-innovation-framework-programme/european-partnerships-horizon-europe_en</w:t>
        </w:r>
      </w:hyperlink>
    </w:p>
  </w:footnote>
  <w:footnote w:id="30">
    <w:p w14:paraId="2AAE764E" w14:textId="34B8BB91" w:rsidR="004E416A" w:rsidRPr="005246E6" w:rsidRDefault="004E416A" w:rsidP="005246E6">
      <w:pPr>
        <w:pStyle w:val="FootnoteText"/>
        <w:jc w:val="both"/>
      </w:pPr>
      <w:r w:rsidRPr="005246E6">
        <w:rPr>
          <w:rStyle w:val="FootnoteReference"/>
          <w:rFonts w:ascii="Times New Roman" w:hAnsi="Times New Roman" w:cs="Times New Roman"/>
        </w:rPr>
        <w:footnoteRef/>
      </w:r>
      <w:r w:rsidRPr="005246E6">
        <w:rPr>
          <w:rFonts w:ascii="Times New Roman" w:hAnsi="Times New Roman" w:cs="Times New Roman"/>
        </w:rPr>
        <w:t xml:space="preserve"> The current average annual investment in the period 2015-2018 was around </w:t>
      </w:r>
      <w:r>
        <w:rPr>
          <w:rFonts w:ascii="Times New Roman" w:hAnsi="Times New Roman" w:cs="Times New Roman"/>
        </w:rPr>
        <w:t>EUR</w:t>
      </w:r>
      <w:r w:rsidRPr="005246E6">
        <w:rPr>
          <w:rFonts w:ascii="Times New Roman" w:hAnsi="Times New Roman" w:cs="Times New Roman"/>
        </w:rPr>
        <w:t xml:space="preserve"> 800 </w:t>
      </w:r>
      <w:proofErr w:type="spellStart"/>
      <w:r w:rsidRPr="005246E6">
        <w:rPr>
          <w:rFonts w:ascii="Times New Roman" w:hAnsi="Times New Roman" w:cs="Times New Roman"/>
        </w:rPr>
        <w:t>mio</w:t>
      </w:r>
      <w:proofErr w:type="spellEnd"/>
      <w:r w:rsidRPr="005246E6">
        <w:rPr>
          <w:rFonts w:ascii="Times New Roman" w:hAnsi="Times New Roman" w:cs="Times New Roman"/>
        </w:rPr>
        <w:t xml:space="preserve"> (ERA-LEARN data)</w:t>
      </w:r>
      <w:r>
        <w:rPr>
          <w:rFonts w:ascii="Times New Roman" w:hAnsi="Times New Roman" w:cs="Times New Roman"/>
        </w:rPr>
        <w:t xml:space="preserve"> or just below 1% of total public funding for R&amp;I in the EU</w:t>
      </w:r>
    </w:p>
  </w:footnote>
  <w:footnote w:id="31">
    <w:p w14:paraId="01FD5B4B" w14:textId="77777777" w:rsidR="004E416A" w:rsidRPr="00910BDD" w:rsidRDefault="004E416A">
      <w:pPr>
        <w:pStyle w:val="FootnoteText"/>
      </w:pPr>
      <w:r>
        <w:rPr>
          <w:rStyle w:val="FootnoteReference"/>
        </w:rPr>
        <w:footnoteRef/>
      </w:r>
      <w:r>
        <w:t xml:space="preserve"> </w:t>
      </w:r>
      <w:r w:rsidRPr="008B5949">
        <w:rPr>
          <w:rFonts w:ascii="Times New Roman" w:hAnsi="Times New Roman" w:cs="Times New Roman"/>
        </w:rPr>
        <w:t xml:space="preserve">SRIP report </w:t>
      </w:r>
      <w:hyperlink r:id="rId10" w:history="1">
        <w:r w:rsidRPr="008B5949">
          <w:rPr>
            <w:rFonts w:ascii="Times New Roman" w:hAnsi="Times New Roman" w:cs="Times New Roman"/>
          </w:rPr>
          <w:t>https://ec.europa.eu/info/publications/science-research-and-innovation-performance-eu-2020_en</w:t>
        </w:r>
      </w:hyperlink>
      <w:r w:rsidRPr="008B5949">
        <w:rPr>
          <w:rFonts w:ascii="Times New Roman" w:hAnsi="Times New Roman" w:cs="Times New Roman"/>
        </w:rPr>
        <w:t xml:space="preserve"> (pp. 368 and 369).</w:t>
      </w:r>
    </w:p>
  </w:footnote>
  <w:footnote w:id="32">
    <w:p w14:paraId="6FA3EE43" w14:textId="77777777" w:rsidR="004E416A" w:rsidRPr="008D3C51" w:rsidRDefault="004E416A">
      <w:pPr>
        <w:pStyle w:val="FootnoteText"/>
      </w:pPr>
      <w:r>
        <w:rPr>
          <w:rStyle w:val="FootnoteReference"/>
        </w:rPr>
        <w:footnoteRef/>
      </w:r>
      <w:r>
        <w:t xml:space="preserve"> </w:t>
      </w:r>
      <w:r w:rsidRPr="006407CE">
        <w:rPr>
          <w:rFonts w:ascii="Times New Roman" w:hAnsi="Times New Roman" w:cs="Times New Roman"/>
        </w:rPr>
        <w:t>https://ec.europa.eu/growth/industry/policy/innovation/scoreboards_en</w:t>
      </w:r>
    </w:p>
  </w:footnote>
  <w:footnote w:id="33">
    <w:p w14:paraId="7EF86C03" w14:textId="77777777" w:rsidR="004E416A" w:rsidRPr="00C13276" w:rsidRDefault="004E416A" w:rsidP="008B50AB">
      <w:pPr>
        <w:pStyle w:val="FootnoteText"/>
        <w:rPr>
          <w:rFonts w:ascii="Times New Roman" w:hAnsi="Times New Roman" w:cs="Times New Roman"/>
        </w:rPr>
      </w:pPr>
      <w:r w:rsidRPr="00C13276">
        <w:rPr>
          <w:rStyle w:val="FootnoteReference"/>
          <w:rFonts w:ascii="Times New Roman" w:hAnsi="Times New Roman" w:cs="Times New Roman"/>
        </w:rPr>
        <w:footnoteRef/>
      </w:r>
      <w:r w:rsidRPr="00C13276">
        <w:rPr>
          <w:rFonts w:ascii="Times New Roman" w:hAnsi="Times New Roman" w:cs="Times New Roman"/>
        </w:rPr>
        <w:t xml:space="preserve"> See also </w:t>
      </w:r>
      <w:hyperlink r:id="rId11" w:history="1">
        <w:r w:rsidRPr="00C13276">
          <w:rPr>
            <w:rStyle w:val="Hyperlink"/>
            <w:rFonts w:ascii="Times New Roman" w:hAnsi="Times New Roman" w:cs="Times New Roman"/>
          </w:rPr>
          <w:t>https://www.eib.org/attachments/efs/innovation_investment_in_cesee_en.pdf</w:t>
        </w:r>
      </w:hyperlink>
    </w:p>
  </w:footnote>
  <w:footnote w:id="34">
    <w:p w14:paraId="1B54A09C" w14:textId="77777777" w:rsidR="004E416A" w:rsidRPr="00A25BE6" w:rsidRDefault="004E416A" w:rsidP="008B50AB">
      <w:pPr>
        <w:pStyle w:val="FootnoteText"/>
        <w:rPr>
          <w:rFonts w:ascii="Times New Roman" w:hAnsi="Times New Roman" w:cs="Times New Roman"/>
        </w:rPr>
      </w:pPr>
      <w:r w:rsidRPr="00A25BE6">
        <w:rPr>
          <w:rStyle w:val="FootnoteReference"/>
          <w:rFonts w:ascii="Times New Roman" w:hAnsi="Times New Roman" w:cs="Times New Roman"/>
        </w:rPr>
        <w:footnoteRef/>
      </w:r>
      <w:r w:rsidRPr="00A25BE6">
        <w:rPr>
          <w:rFonts w:ascii="Times New Roman" w:hAnsi="Times New Roman" w:cs="Times New Roman"/>
        </w:rPr>
        <w:t xml:space="preserve"> Science, Research and Innovation Performance of the EU 2020, DG R&amp;I</w:t>
      </w:r>
    </w:p>
  </w:footnote>
  <w:footnote w:id="35">
    <w:p w14:paraId="18A23B58" w14:textId="77777777" w:rsidR="004E416A" w:rsidRPr="00C13276" w:rsidRDefault="004E416A" w:rsidP="00D71FAC">
      <w:pPr>
        <w:pStyle w:val="FootnoteText"/>
        <w:rPr>
          <w:rFonts w:ascii="Times New Roman" w:hAnsi="Times New Roman" w:cs="Times New Roman"/>
        </w:rPr>
      </w:pPr>
      <w:r w:rsidRPr="00C13276">
        <w:rPr>
          <w:rStyle w:val="FootnoteReference"/>
          <w:rFonts w:ascii="Times New Roman" w:hAnsi="Times New Roman" w:cs="Times New Roman"/>
        </w:rPr>
        <w:footnoteRef/>
      </w:r>
      <w:r w:rsidRPr="00C13276">
        <w:rPr>
          <w:rFonts w:ascii="Times New Roman" w:hAnsi="Times New Roman" w:cs="Times New Roman"/>
        </w:rPr>
        <w:t xml:space="preserve"> </w:t>
      </w:r>
      <w:hyperlink r:id="rId12" w:history="1">
        <w:r w:rsidRPr="00C13276">
          <w:rPr>
            <w:rStyle w:val="Hyperlink"/>
            <w:rFonts w:ascii="Times New Roman" w:hAnsi="Times New Roman" w:cs="Times New Roman"/>
          </w:rPr>
          <w:t>https://rio.jrc.ec.europa.eu/policy-support-facility</w:t>
        </w:r>
      </w:hyperlink>
    </w:p>
  </w:footnote>
  <w:footnote w:id="36">
    <w:p w14:paraId="22CB5B10" w14:textId="77777777" w:rsidR="004E416A" w:rsidRPr="006407CE" w:rsidRDefault="004E416A">
      <w:pPr>
        <w:pStyle w:val="FootnoteText"/>
        <w:rPr>
          <w:rFonts w:ascii="Times New Roman" w:hAnsi="Times New Roman" w:cs="Times New Roman"/>
        </w:rPr>
      </w:pPr>
      <w:r>
        <w:rPr>
          <w:rStyle w:val="FootnoteReference"/>
        </w:rPr>
        <w:footnoteRef/>
      </w:r>
      <w:r>
        <w:t xml:space="preserve"> </w:t>
      </w:r>
      <w:hyperlink r:id="rId13" w:history="1">
        <w:r w:rsidRPr="006407CE">
          <w:rPr>
            <w:rStyle w:val="Hyperlink"/>
            <w:rFonts w:ascii="Times New Roman" w:hAnsi="Times New Roman" w:cs="Times New Roman"/>
          </w:rPr>
          <w:t>https://eur-lex.europa.eu/legal-content/EN/TXT/?uri=COM:2020:0409:FIN</w:t>
        </w:r>
      </w:hyperlink>
      <w:r w:rsidRPr="006407CE">
        <w:rPr>
          <w:rFonts w:ascii="Times New Roman" w:hAnsi="Times New Roman" w:cs="Times New Roman"/>
        </w:rPr>
        <w:t xml:space="preserve"> </w:t>
      </w:r>
    </w:p>
  </w:footnote>
  <w:footnote w:id="37">
    <w:p w14:paraId="23CCEF26" w14:textId="77777777" w:rsidR="004E416A" w:rsidRPr="00565507" w:rsidRDefault="004E416A" w:rsidP="00111BB4">
      <w:pPr>
        <w:pStyle w:val="FootnoteText"/>
      </w:pPr>
      <w:r>
        <w:rPr>
          <w:rStyle w:val="FootnoteReference"/>
        </w:rPr>
        <w:footnoteRef/>
      </w:r>
      <w:r w:rsidRPr="00565507">
        <w:t xml:space="preserve"> </w:t>
      </w:r>
      <w:hyperlink r:id="rId14" w:history="1">
        <w:r w:rsidRPr="00565507">
          <w:rPr>
            <w:rStyle w:val="Hyperlink"/>
            <w:rFonts w:ascii="Times New Roman" w:hAnsi="Times New Roman" w:cs="Times New Roman"/>
          </w:rPr>
          <w:t>https://cor.europa.eu/en/our-work/Documents/SEDEC/KEP-action-plan-2019-en.pdf</w:t>
        </w:r>
      </w:hyperlink>
    </w:p>
  </w:footnote>
  <w:footnote w:id="38">
    <w:p w14:paraId="07FF3B35" w14:textId="77777777" w:rsidR="004E416A" w:rsidRPr="005246E6" w:rsidRDefault="004E416A" w:rsidP="00420DE6">
      <w:pPr>
        <w:pStyle w:val="FootnoteText"/>
        <w:jc w:val="both"/>
        <w:rPr>
          <w:rFonts w:ascii="Times New Roman" w:hAnsi="Times New Roman" w:cs="Times New Roman"/>
        </w:rPr>
      </w:pPr>
      <w:r w:rsidRPr="005246E6">
        <w:rPr>
          <w:rFonts w:ascii="Times New Roman" w:hAnsi="Times New Roman" w:cs="Times New Roman"/>
          <w:vertAlign w:val="superscript"/>
        </w:rPr>
        <w:footnoteRef/>
      </w:r>
      <w:r w:rsidRPr="005246E6">
        <w:rPr>
          <w:rFonts w:ascii="Times New Roman" w:hAnsi="Times New Roman" w:cs="Times New Roman"/>
          <w:vertAlign w:val="superscript"/>
        </w:rPr>
        <w:t xml:space="preserve"> </w:t>
      </w:r>
      <w:r w:rsidRPr="005246E6">
        <w:rPr>
          <w:rFonts w:ascii="Times New Roman" w:hAnsi="Times New Roman" w:cs="Times New Roman"/>
        </w:rPr>
        <w:t>In 2018, 1</w:t>
      </w:r>
      <w:proofErr w:type="gramStart"/>
      <w:r w:rsidRPr="005246E6">
        <w:rPr>
          <w:rFonts w:ascii="Times New Roman" w:hAnsi="Times New Roman" w:cs="Times New Roman"/>
        </w:rPr>
        <w:t>,45</w:t>
      </w:r>
      <w:proofErr w:type="gramEnd"/>
      <w:r w:rsidRPr="005246E6">
        <w:rPr>
          <w:rFonts w:ascii="Times New Roman" w:hAnsi="Times New Roman" w:cs="Times New Roman"/>
        </w:rPr>
        <w:t>% GPD in EU, 2.59 % in Japan, 2.05% in United States and 1.69 % in China. SRIP 2020</w:t>
      </w:r>
    </w:p>
  </w:footnote>
  <w:footnote w:id="39">
    <w:p w14:paraId="658F0EC8" w14:textId="251C569B" w:rsidR="004E416A" w:rsidRPr="005246E6" w:rsidRDefault="004E416A" w:rsidP="00420DE6">
      <w:pPr>
        <w:pStyle w:val="FootnoteText"/>
        <w:jc w:val="both"/>
        <w:rPr>
          <w:rFonts w:ascii="Times New Roman" w:hAnsi="Times New Roman" w:cs="Times New Roman"/>
        </w:rPr>
      </w:pPr>
      <w:r w:rsidRPr="005246E6">
        <w:rPr>
          <w:rFonts w:ascii="Times New Roman" w:hAnsi="Times New Roman" w:cs="Times New Roman"/>
          <w:vertAlign w:val="superscript"/>
        </w:rPr>
        <w:footnoteRef/>
      </w:r>
      <w:r w:rsidRPr="005246E6">
        <w:rPr>
          <w:rFonts w:ascii="Times New Roman" w:hAnsi="Times New Roman" w:cs="Times New Roman"/>
          <w:vertAlign w:val="superscript"/>
        </w:rPr>
        <w:t xml:space="preserve"> </w:t>
      </w:r>
      <w:r>
        <w:rPr>
          <w:rFonts w:ascii="Times New Roman" w:hAnsi="Times New Roman" w:cs="Times New Roman"/>
        </w:rPr>
        <w:t>For each (</w:t>
      </w:r>
      <w:r w:rsidRPr="005246E6">
        <w:rPr>
          <w:rFonts w:ascii="Times New Roman" w:hAnsi="Times New Roman" w:cs="Times New Roman"/>
        </w:rPr>
        <w:t>SRIP 2020</w:t>
      </w:r>
      <w:r>
        <w:rPr>
          <w:rFonts w:ascii="Times New Roman" w:hAnsi="Times New Roman" w:cs="Times New Roman"/>
        </w:rPr>
        <w:t xml:space="preserve">) - SRIP 2020, </w:t>
      </w:r>
      <w:hyperlink r:id="rId15" w:history="1">
        <w:r w:rsidRPr="006C6E88">
          <w:rPr>
            <w:rStyle w:val="Hyperlink"/>
            <w:rFonts w:ascii="Times New Roman" w:hAnsi="Times New Roman" w:cs="Times New Roman"/>
          </w:rPr>
          <w:t>https://ec.europa.eu/info/research-and-innovation/strategy/support-policy-making/support-national-research-and-innovation-policy-making/srip-report_en</w:t>
        </w:r>
      </w:hyperlink>
    </w:p>
  </w:footnote>
  <w:footnote w:id="40">
    <w:p w14:paraId="2619CCEB" w14:textId="77777777" w:rsidR="004E416A" w:rsidRPr="00A858B5" w:rsidRDefault="004E416A" w:rsidP="0023161F">
      <w:pPr>
        <w:pStyle w:val="FootnoteText"/>
        <w:rPr>
          <w:lang w:val="en-US"/>
        </w:rPr>
      </w:pPr>
      <w:r>
        <w:rPr>
          <w:rStyle w:val="FootnoteReference"/>
        </w:rPr>
        <w:footnoteRef/>
      </w:r>
      <w:r w:rsidRPr="00A858B5">
        <w:rPr>
          <w:lang w:val="en-US"/>
        </w:rPr>
        <w:t xml:space="preserve"> </w:t>
      </w:r>
      <w:r w:rsidRPr="00F92C4A">
        <w:rPr>
          <w:rFonts w:ascii="Times New Roman" w:hAnsi="Times New Roman" w:cs="Times New Roman"/>
          <w:lang w:val="en-US"/>
        </w:rPr>
        <w:t>https://ec.europa.eu/info/publications/sustainable-finance-teg-taxonomy_en</w:t>
      </w:r>
    </w:p>
  </w:footnote>
  <w:footnote w:id="41">
    <w:p w14:paraId="3CAE01FA" w14:textId="4757D678" w:rsidR="004E416A" w:rsidRPr="00741B2F" w:rsidRDefault="004E416A" w:rsidP="004D217F">
      <w:pPr>
        <w:pStyle w:val="FootnoteText"/>
      </w:pPr>
      <w:r>
        <w:rPr>
          <w:rStyle w:val="FootnoteReference"/>
        </w:rPr>
        <w:footnoteRef/>
      </w:r>
      <w:r>
        <w:t xml:space="preserve"> </w:t>
      </w:r>
      <w:r w:rsidRPr="005246E6">
        <w:rPr>
          <w:rFonts w:ascii="Times New Roman" w:hAnsi="Times New Roman" w:cs="Times New Roman"/>
        </w:rPr>
        <w:t xml:space="preserve">Following the recent Battery Alliance, the Industrial Strategy announces the launch of a Clean Hydrogen Alliance, followed by alliances on </w:t>
      </w:r>
      <w:r>
        <w:rPr>
          <w:rFonts w:ascii="Times New Roman" w:hAnsi="Times New Roman" w:cs="Times New Roman"/>
        </w:rPr>
        <w:t>l</w:t>
      </w:r>
      <w:r w:rsidRPr="005246E6">
        <w:rPr>
          <w:rFonts w:ascii="Times New Roman" w:hAnsi="Times New Roman" w:cs="Times New Roman"/>
        </w:rPr>
        <w:t>ow-</w:t>
      </w:r>
      <w:r>
        <w:rPr>
          <w:rFonts w:ascii="Times New Roman" w:hAnsi="Times New Roman" w:cs="Times New Roman"/>
        </w:rPr>
        <w:t>c</w:t>
      </w:r>
      <w:r w:rsidRPr="005246E6">
        <w:rPr>
          <w:rFonts w:ascii="Times New Roman" w:hAnsi="Times New Roman" w:cs="Times New Roman"/>
        </w:rPr>
        <w:t xml:space="preserve">arbon </w:t>
      </w:r>
      <w:r>
        <w:rPr>
          <w:rFonts w:ascii="Times New Roman" w:hAnsi="Times New Roman" w:cs="Times New Roman"/>
        </w:rPr>
        <w:t>i</w:t>
      </w:r>
      <w:r w:rsidRPr="005246E6">
        <w:rPr>
          <w:rFonts w:ascii="Times New Roman" w:hAnsi="Times New Roman" w:cs="Times New Roman"/>
        </w:rPr>
        <w:t xml:space="preserve">ndustries and on </w:t>
      </w:r>
      <w:r>
        <w:rPr>
          <w:rFonts w:ascii="Times New Roman" w:hAnsi="Times New Roman" w:cs="Times New Roman"/>
        </w:rPr>
        <w:t>i</w:t>
      </w:r>
      <w:r>
        <w:t>ndustrial data</w:t>
      </w:r>
      <w:r w:rsidRPr="004C70A4">
        <w:t xml:space="preserve"> and </w:t>
      </w:r>
      <w:r>
        <w:t>cloud,</w:t>
      </w:r>
      <w:r w:rsidRPr="005246E6">
        <w:rPr>
          <w:rFonts w:ascii="Times New Roman" w:hAnsi="Times New Roman" w:cs="Times New Roman"/>
        </w:rPr>
        <w:t xml:space="preserve"> and raw material</w:t>
      </w:r>
      <w:r>
        <w:rPr>
          <w:rFonts w:ascii="Times New Roman" w:hAnsi="Times New Roman" w:cs="Times New Roman"/>
        </w:rPr>
        <w:t>s.</w:t>
      </w:r>
    </w:p>
  </w:footnote>
  <w:footnote w:id="42">
    <w:p w14:paraId="7A8E9EE5" w14:textId="77777777" w:rsidR="004E416A" w:rsidRPr="005246E6" w:rsidRDefault="004E416A" w:rsidP="004D217F">
      <w:pPr>
        <w:pStyle w:val="FootnoteText"/>
        <w:jc w:val="both"/>
        <w:rPr>
          <w:rFonts w:ascii="Times New Roman" w:hAnsi="Times New Roman" w:cs="Times New Roman"/>
          <w:lang w:val="en-US"/>
        </w:rPr>
      </w:pPr>
      <w:r w:rsidRPr="005246E6">
        <w:rPr>
          <w:rStyle w:val="FootnoteReference"/>
          <w:rFonts w:ascii="Times New Roman" w:hAnsi="Times New Roman" w:cs="Times New Roman"/>
        </w:rPr>
        <w:footnoteRef/>
      </w:r>
      <w:r w:rsidRPr="005246E6">
        <w:rPr>
          <w:rFonts w:ascii="Times New Roman" w:hAnsi="Times New Roman" w:cs="Times New Roman"/>
        </w:rPr>
        <w:t xml:space="preserve"> The ECSEL partnership, </w:t>
      </w:r>
      <w:r>
        <w:rPr>
          <w:rFonts w:ascii="Times New Roman" w:hAnsi="Times New Roman" w:cs="Times New Roman"/>
        </w:rPr>
        <w:t xml:space="preserve">behind </w:t>
      </w:r>
      <w:r w:rsidRPr="005246E6">
        <w:rPr>
          <w:rFonts w:ascii="Times New Roman" w:hAnsi="Times New Roman" w:cs="Times New Roman"/>
        </w:rPr>
        <w:t xml:space="preserve">the </w:t>
      </w:r>
      <w:r>
        <w:rPr>
          <w:rFonts w:ascii="Times New Roman" w:hAnsi="Times New Roman" w:cs="Times New Roman"/>
        </w:rPr>
        <w:t xml:space="preserve">launch of the </w:t>
      </w:r>
      <w:r w:rsidRPr="005246E6">
        <w:rPr>
          <w:rFonts w:ascii="Times New Roman" w:hAnsi="Times New Roman" w:cs="Times New Roman"/>
        </w:rPr>
        <w:t>first IPCEI on Micr</w:t>
      </w:r>
      <w:r>
        <w:rPr>
          <w:rFonts w:ascii="Times New Roman" w:hAnsi="Times New Roman" w:cs="Times New Roman"/>
        </w:rPr>
        <w:t>oelectronics has shown the way.</w:t>
      </w:r>
    </w:p>
  </w:footnote>
  <w:footnote w:id="43">
    <w:p w14:paraId="2B272B8C" w14:textId="77777777" w:rsidR="004E416A" w:rsidRPr="00F74968" w:rsidRDefault="004E416A" w:rsidP="00437E56">
      <w:pPr>
        <w:pStyle w:val="FootnoteText"/>
      </w:pPr>
      <w:r>
        <w:rPr>
          <w:rStyle w:val="FootnoteReference"/>
        </w:rPr>
        <w:footnoteRef/>
      </w:r>
      <w:r w:rsidRPr="00F74968">
        <w:t xml:space="preserve"> </w:t>
      </w:r>
      <w:r w:rsidRPr="000E2C91">
        <w:rPr>
          <w:rFonts w:ascii="Times New Roman" w:hAnsi="Times New Roman" w:cs="Times New Roman"/>
        </w:rPr>
        <w:t>COM/2020/102 final</w:t>
      </w:r>
    </w:p>
  </w:footnote>
  <w:footnote w:id="44">
    <w:p w14:paraId="4C38EBD2" w14:textId="77777777" w:rsidR="004E416A" w:rsidRPr="000C5938" w:rsidRDefault="004E416A">
      <w:pPr>
        <w:pStyle w:val="FootnoteText"/>
      </w:pPr>
      <w:r>
        <w:rPr>
          <w:rStyle w:val="FootnoteReference"/>
        </w:rPr>
        <w:footnoteRef/>
      </w:r>
      <w:r>
        <w:t xml:space="preserve"> </w:t>
      </w:r>
      <w:r w:rsidRPr="001E49AE">
        <w:rPr>
          <w:rFonts w:ascii="Times New Roman" w:hAnsi="Times New Roman" w:cs="Times New Roman"/>
        </w:rPr>
        <w:t xml:space="preserve">See section 2.4.3.2 of the Staff Working Document. </w:t>
      </w:r>
    </w:p>
  </w:footnote>
  <w:footnote w:id="45">
    <w:p w14:paraId="3EBBB660" w14:textId="77777777" w:rsidR="004E416A" w:rsidRPr="0018249A" w:rsidRDefault="004E416A" w:rsidP="00104216">
      <w:pPr>
        <w:pStyle w:val="FootnoteText"/>
        <w:rPr>
          <w:rFonts w:ascii="Times New Roman" w:hAnsi="Times New Roman" w:cs="Times New Roman"/>
          <w:lang w:val="en-IE"/>
        </w:rPr>
      </w:pPr>
      <w:r w:rsidRPr="0018249A">
        <w:rPr>
          <w:rStyle w:val="FootnoteReference"/>
          <w:rFonts w:ascii="Times New Roman" w:hAnsi="Times New Roman" w:cs="Times New Roman"/>
        </w:rPr>
        <w:footnoteRef/>
      </w:r>
      <w:r w:rsidRPr="0018249A">
        <w:rPr>
          <w:rFonts w:ascii="Times New Roman" w:hAnsi="Times New Roman" w:cs="Times New Roman"/>
        </w:rPr>
        <w:t xml:space="preserve"> </w:t>
      </w:r>
      <w:r w:rsidRPr="0018249A">
        <w:rPr>
          <w:rFonts w:ascii="Times New Roman" w:hAnsi="Times New Roman" w:cs="Times New Roman"/>
          <w:lang w:val="en-IE"/>
        </w:rPr>
        <w:t>COM(2020)274 final of 1.7.2020</w:t>
      </w:r>
    </w:p>
  </w:footnote>
  <w:footnote w:id="46">
    <w:p w14:paraId="4250479C" w14:textId="56644EE6" w:rsidR="004E416A" w:rsidRPr="009E3399" w:rsidRDefault="004E416A">
      <w:pPr>
        <w:pStyle w:val="FootnoteText"/>
        <w:rPr>
          <w:rFonts w:ascii="Times New Roman" w:hAnsi="Times New Roman" w:cs="Times New Roman"/>
          <w:lang w:val="en-IE"/>
        </w:rPr>
      </w:pPr>
      <w:r w:rsidRPr="0018249A">
        <w:rPr>
          <w:rStyle w:val="FootnoteReference"/>
          <w:rFonts w:ascii="Times New Roman" w:hAnsi="Times New Roman" w:cs="Times New Roman"/>
        </w:rPr>
        <w:footnoteRef/>
      </w:r>
      <w:r w:rsidRPr="009E3399">
        <w:rPr>
          <w:rFonts w:ascii="Times New Roman" w:hAnsi="Times New Roman" w:cs="Times New Roman"/>
          <w:lang w:val="en-IE"/>
        </w:rPr>
        <w:t xml:space="preserve"> </w:t>
      </w:r>
      <w:hyperlink r:id="rId16" w:history="1">
        <w:r w:rsidRPr="009E3399">
          <w:rPr>
            <w:rStyle w:val="Hyperlink"/>
            <w:rFonts w:ascii="Times New Roman" w:hAnsi="Times New Roman" w:cs="Times New Roman"/>
            <w:lang w:val="en-IE"/>
          </w:rPr>
          <w:t>https://euraxess.ec.europa.eu</w:t>
        </w:r>
      </w:hyperlink>
      <w:r w:rsidRPr="009E3399">
        <w:rPr>
          <w:rFonts w:ascii="Times New Roman" w:hAnsi="Times New Roman" w:cs="Times New Roman"/>
          <w:lang w:val="en-IE"/>
        </w:rPr>
        <w:t xml:space="preserve">; </w:t>
      </w:r>
      <w:hyperlink r:id="rId17" w:history="1">
        <w:r w:rsidRPr="009E3399">
          <w:rPr>
            <w:rStyle w:val="Hyperlink"/>
            <w:rFonts w:ascii="Times New Roman" w:hAnsi="Times New Roman" w:cs="Times New Roman"/>
            <w:lang w:val="en-IE"/>
          </w:rPr>
          <w:t>https://europa.eu/europass/en</w:t>
        </w:r>
      </w:hyperlink>
      <w:r w:rsidRPr="009E3399">
        <w:rPr>
          <w:rFonts w:ascii="Times New Roman" w:hAnsi="Times New Roman" w:cs="Times New Roman"/>
          <w:lang w:val="en-IE"/>
        </w:rPr>
        <w:t xml:space="preserve">; </w:t>
      </w:r>
      <w:hyperlink r:id="rId18" w:history="1">
        <w:r w:rsidRPr="00852FC3">
          <w:rPr>
            <w:rStyle w:val="Hyperlink"/>
            <w:rFonts w:ascii="Times New Roman" w:hAnsi="Times New Roman" w:cs="Times New Roman"/>
            <w:lang w:val="en-IE"/>
          </w:rPr>
          <w:t>https://ec.europa.eu/eures/public/en/homepage</w:t>
        </w:r>
      </w:hyperlink>
      <w:r>
        <w:rPr>
          <w:rFonts w:ascii="Times New Roman" w:hAnsi="Times New Roman" w:cs="Times New Roman"/>
          <w:lang w:val="en-IE"/>
        </w:rPr>
        <w:t xml:space="preserve">. </w:t>
      </w:r>
    </w:p>
  </w:footnote>
  <w:footnote w:id="47">
    <w:p w14:paraId="1A048B23" w14:textId="77777777" w:rsidR="004E416A" w:rsidRPr="00602CDC" w:rsidRDefault="004E416A" w:rsidP="00B95C1A">
      <w:pPr>
        <w:pStyle w:val="FootnoteText"/>
      </w:pPr>
      <w:r>
        <w:rPr>
          <w:rStyle w:val="FootnoteReference"/>
        </w:rPr>
        <w:footnoteRef/>
      </w:r>
      <w:r>
        <w:t xml:space="preserve"> </w:t>
      </w:r>
      <w:r w:rsidRPr="00B81553">
        <w:rPr>
          <w:rFonts w:ascii="Times New Roman" w:hAnsi="Times New Roman" w:cs="Times New Roman"/>
          <w:lang w:val="en-US"/>
        </w:rPr>
        <w:t>COM(2020)66 of 19.2.2020</w:t>
      </w:r>
    </w:p>
  </w:footnote>
  <w:footnote w:id="48">
    <w:p w14:paraId="17369946" w14:textId="77777777" w:rsidR="004E416A" w:rsidRPr="004E416A" w:rsidRDefault="004E416A" w:rsidP="0044632F">
      <w:pPr>
        <w:pStyle w:val="FootnoteText"/>
        <w:rPr>
          <w:lang w:val="en-US"/>
        </w:rPr>
      </w:pPr>
      <w:r w:rsidRPr="00B00848">
        <w:rPr>
          <w:rStyle w:val="FootnoteReference"/>
          <w:rFonts w:ascii="Times New Roman" w:hAnsi="Times New Roman" w:cs="Times New Roman"/>
        </w:rPr>
        <w:footnoteRef/>
      </w:r>
      <w:r w:rsidRPr="004E416A">
        <w:rPr>
          <w:rFonts w:ascii="Times New Roman" w:hAnsi="Times New Roman" w:cs="Times New Roman"/>
          <w:lang w:val="en-US"/>
        </w:rPr>
        <w:t xml:space="preserve"> </w:t>
      </w:r>
      <w:hyperlink r:id="rId19" w:history="1">
        <w:r w:rsidRPr="004E416A">
          <w:rPr>
            <w:rStyle w:val="Hyperlink"/>
            <w:rFonts w:ascii="Times New Roman" w:hAnsi="Times New Roman" w:cs="Times New Roman"/>
            <w:lang w:val="en-US"/>
          </w:rPr>
          <w:t>https://www.covid19dataportal.org/</w:t>
        </w:r>
      </w:hyperlink>
    </w:p>
  </w:footnote>
  <w:footnote w:id="49">
    <w:p w14:paraId="58E5E329" w14:textId="372CE222" w:rsidR="004E416A" w:rsidRPr="0099304F" w:rsidRDefault="004E416A" w:rsidP="009E3399">
      <w:pPr>
        <w:pStyle w:val="FootnoteText"/>
      </w:pPr>
      <w:r>
        <w:rPr>
          <w:rStyle w:val="FootnoteReference"/>
        </w:rPr>
        <w:footnoteRef/>
      </w:r>
      <w:r w:rsidRPr="0099304F">
        <w:t xml:space="preserve"> </w:t>
      </w:r>
      <w:hyperlink r:id="rId20" w:history="1">
        <w:r w:rsidRPr="0099304F">
          <w:rPr>
            <w:rStyle w:val="Hyperlink"/>
          </w:rPr>
          <w:t>https://europeanspallationsource.se/</w:t>
        </w:r>
      </w:hyperlink>
      <w:r w:rsidRPr="0099304F">
        <w:t xml:space="preserve"> </w:t>
      </w:r>
    </w:p>
  </w:footnote>
  <w:footnote w:id="50">
    <w:p w14:paraId="390A905E" w14:textId="4CC3D57E" w:rsidR="004E416A" w:rsidRPr="0099304F" w:rsidRDefault="004E416A">
      <w:pPr>
        <w:pStyle w:val="FootnoteText"/>
      </w:pPr>
      <w:r>
        <w:rPr>
          <w:rStyle w:val="FootnoteReference"/>
        </w:rPr>
        <w:footnoteRef/>
      </w:r>
      <w:r w:rsidRPr="0099304F">
        <w:t xml:space="preserve">  </w:t>
      </w:r>
      <w:hyperlink r:id="rId21" w:history="1">
        <w:r w:rsidRPr="0099304F">
          <w:rPr>
            <w:rStyle w:val="Hyperlink"/>
          </w:rPr>
          <w:t>https://www.epos-ip.org/</w:t>
        </w:r>
      </w:hyperlink>
      <w:r w:rsidRPr="0099304F">
        <w:t xml:space="preserve"> </w:t>
      </w:r>
    </w:p>
  </w:footnote>
  <w:footnote w:id="51">
    <w:p w14:paraId="67229AFA" w14:textId="6943168C" w:rsidR="004E416A" w:rsidRPr="0099304F" w:rsidRDefault="004E416A">
      <w:pPr>
        <w:pStyle w:val="FootnoteText"/>
      </w:pPr>
      <w:r>
        <w:rPr>
          <w:rStyle w:val="FootnoteReference"/>
        </w:rPr>
        <w:footnoteRef/>
      </w:r>
      <w:r w:rsidRPr="0099304F">
        <w:t xml:space="preserve">  </w:t>
      </w:r>
      <w:hyperlink r:id="rId22" w:history="1">
        <w:r w:rsidRPr="0099304F">
          <w:rPr>
            <w:rStyle w:val="Hyperlink"/>
          </w:rPr>
          <w:t>http://www.europeansocialsurvey.org/</w:t>
        </w:r>
      </w:hyperlink>
      <w:r w:rsidRPr="0099304F">
        <w:t xml:space="preserve"> </w:t>
      </w:r>
    </w:p>
  </w:footnote>
  <w:footnote w:id="52">
    <w:p w14:paraId="238FAA21" w14:textId="12EEBA84" w:rsidR="004E416A" w:rsidRPr="0099304F" w:rsidRDefault="004E416A">
      <w:pPr>
        <w:pStyle w:val="FootnoteText"/>
      </w:pPr>
      <w:r>
        <w:rPr>
          <w:rStyle w:val="FootnoteReference"/>
        </w:rPr>
        <w:footnoteRef/>
      </w:r>
      <w:r w:rsidRPr="0099304F">
        <w:t xml:space="preserve"> </w:t>
      </w:r>
      <w:hyperlink r:id="rId23" w:history="1">
        <w:r w:rsidRPr="0099304F">
          <w:rPr>
            <w:rStyle w:val="Hyperlink"/>
          </w:rPr>
          <w:t>https://www.esfri.eu/esfri-white-paper</w:t>
        </w:r>
      </w:hyperlink>
      <w:r w:rsidRPr="0099304F">
        <w:t xml:space="preserve"> </w:t>
      </w:r>
    </w:p>
  </w:footnote>
  <w:footnote w:id="53">
    <w:p w14:paraId="55035196" w14:textId="77777777" w:rsidR="004E416A" w:rsidRPr="002D1881" w:rsidRDefault="004E416A" w:rsidP="006340BE">
      <w:pPr>
        <w:pStyle w:val="FootnoteText"/>
      </w:pPr>
      <w:r>
        <w:rPr>
          <w:rStyle w:val="FootnoteReference"/>
        </w:rPr>
        <w:footnoteRef/>
      </w:r>
      <w:r>
        <w:t xml:space="preserve"> </w:t>
      </w:r>
      <w:r w:rsidRPr="00FF2D59">
        <w:t>SWD(2019) 158</w:t>
      </w:r>
    </w:p>
  </w:footnote>
  <w:footnote w:id="54">
    <w:p w14:paraId="246D2984" w14:textId="77777777" w:rsidR="004E416A" w:rsidRPr="003B4353" w:rsidRDefault="004E416A" w:rsidP="007E71C3">
      <w:pPr>
        <w:pStyle w:val="FootnoteText"/>
        <w:rPr>
          <w:rFonts w:ascii="Times New Roman" w:hAnsi="Times New Roman" w:cs="Times New Roman"/>
        </w:rPr>
      </w:pPr>
      <w:r w:rsidRPr="003B4353">
        <w:rPr>
          <w:rStyle w:val="FootnoteReference"/>
          <w:rFonts w:ascii="Times New Roman" w:hAnsi="Times New Roman" w:cs="Times New Roman"/>
        </w:rPr>
        <w:footnoteRef/>
      </w:r>
      <w:r w:rsidRPr="003B4353">
        <w:rPr>
          <w:rFonts w:ascii="Times New Roman" w:hAnsi="Times New Roman" w:cs="Times New Roman"/>
        </w:rPr>
        <w:t xml:space="preserve"> </w:t>
      </w:r>
      <w:hyperlink r:id="rId24" w:history="1">
        <w:r w:rsidRPr="003B4353">
          <w:rPr>
            <w:rStyle w:val="Hyperlink"/>
            <w:rFonts w:ascii="Times New Roman" w:hAnsi="Times New Roman" w:cs="Times New Roman"/>
          </w:rPr>
          <w:t>https://ec.europa.eu/info/publications/she-figures-2018_en</w:t>
        </w:r>
      </w:hyperlink>
    </w:p>
  </w:footnote>
  <w:footnote w:id="55">
    <w:p w14:paraId="0ADE6D05" w14:textId="77777777" w:rsidR="004E416A" w:rsidRPr="00311359" w:rsidRDefault="004E416A" w:rsidP="007E71C3">
      <w:pPr>
        <w:pStyle w:val="FootnoteText"/>
        <w:jc w:val="both"/>
        <w:rPr>
          <w:rFonts w:ascii="Times New Roman" w:hAnsi="Times New Roman" w:cs="Times New Roman"/>
        </w:rPr>
      </w:pPr>
      <w:r w:rsidRPr="00DB271C">
        <w:rPr>
          <w:rStyle w:val="FootnoteReference"/>
          <w:rFonts w:ascii="Times New Roman" w:hAnsi="Times New Roman" w:cs="Times New Roman"/>
        </w:rPr>
        <w:footnoteRef/>
      </w:r>
      <w:r w:rsidRPr="00311359">
        <w:rPr>
          <w:rFonts w:ascii="Times New Roman" w:hAnsi="Times New Roman" w:cs="Times New Roman"/>
        </w:rPr>
        <w:t xml:space="preserve"> Henning, M.A., Zhou, C., Adams, P., </w:t>
      </w:r>
      <w:proofErr w:type="spellStart"/>
      <w:r w:rsidRPr="00311359">
        <w:rPr>
          <w:rFonts w:ascii="Times New Roman" w:hAnsi="Times New Roman" w:cs="Times New Roman"/>
        </w:rPr>
        <w:t>Moir</w:t>
      </w:r>
      <w:proofErr w:type="spellEnd"/>
      <w:r w:rsidRPr="00311359">
        <w:rPr>
          <w:rFonts w:ascii="Times New Roman" w:hAnsi="Times New Roman" w:cs="Times New Roman"/>
        </w:rPr>
        <w:t xml:space="preserve">, F., Hobson, J., </w:t>
      </w:r>
      <w:proofErr w:type="spellStart"/>
      <w:r w:rsidRPr="00311359">
        <w:rPr>
          <w:rFonts w:ascii="Times New Roman" w:hAnsi="Times New Roman" w:cs="Times New Roman"/>
        </w:rPr>
        <w:t>Hallett</w:t>
      </w:r>
      <w:proofErr w:type="spellEnd"/>
      <w:r w:rsidRPr="00311359">
        <w:rPr>
          <w:rFonts w:ascii="Times New Roman" w:hAnsi="Times New Roman" w:cs="Times New Roman"/>
        </w:rPr>
        <w:t xml:space="preserve">, C. &amp; Webster, C.S. 2017. Workplace harassment among staff in higher education: a systematic review. Asia Pacific Education Review, 18: 521–539 </w:t>
      </w:r>
    </w:p>
  </w:footnote>
  <w:footnote w:id="56">
    <w:p w14:paraId="3F32420C" w14:textId="256BB0A8" w:rsidR="004E416A" w:rsidRPr="00602CDC" w:rsidRDefault="004E416A" w:rsidP="00B77E8D">
      <w:pPr>
        <w:pStyle w:val="FootnoteText"/>
      </w:pPr>
      <w:r>
        <w:rPr>
          <w:rStyle w:val="FootnoteReference"/>
        </w:rPr>
        <w:footnoteRef/>
      </w:r>
      <w:r>
        <w:t xml:space="preserve"> </w:t>
      </w:r>
      <w:r w:rsidRPr="00602CDC">
        <w:rPr>
          <w:rFonts w:ascii="Times New Roman" w:hAnsi="Times New Roman" w:cs="Times New Roman"/>
        </w:rPr>
        <w:t>Such as the new Comprehensive Strategy with Africa.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24AFF" w14:textId="77777777" w:rsidR="00D441AF" w:rsidRDefault="00D441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D1FED" w14:textId="77777777" w:rsidR="00D441AF" w:rsidRDefault="00D441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89428" w14:textId="77777777" w:rsidR="00D441AF" w:rsidRDefault="00D441A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440F3" w14:textId="77777777" w:rsidR="004E416A" w:rsidRDefault="004E416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FFCCE" w14:textId="77777777" w:rsidR="004E416A" w:rsidRDefault="004E416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FDD0E" w14:textId="77777777" w:rsidR="004E416A" w:rsidRDefault="004E41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C3718"/>
    <w:multiLevelType w:val="hybridMultilevel"/>
    <w:tmpl w:val="DE7E0630"/>
    <w:lvl w:ilvl="0" w:tplc="CC4647E8">
      <w:start w:val="1"/>
      <w:numFmt w:val="decimal"/>
      <w:lvlText w:val="%1."/>
      <w:lvlJc w:val="left"/>
      <w:pPr>
        <w:ind w:left="360" w:hanging="360"/>
      </w:pPr>
      <w:rPr>
        <w:rFonts w:ascii="Times New Roman" w:hAnsi="Times New Roman" w:cs="Times New Roman" w:hint="default"/>
        <w:b w:val="0"/>
        <w:sz w:val="24"/>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
    <w:nsid w:val="182D1D87"/>
    <w:multiLevelType w:val="hybridMultilevel"/>
    <w:tmpl w:val="1188095C"/>
    <w:lvl w:ilvl="0" w:tplc="E61C44E0">
      <w:numFmt w:val="bullet"/>
      <w:lvlText w:val="-"/>
      <w:lvlJc w:val="left"/>
      <w:pPr>
        <w:ind w:left="360" w:hanging="360"/>
      </w:pPr>
      <w:rPr>
        <w:rFonts w:ascii="Calibri" w:eastAsiaTheme="minorHAnsi" w:hAnsi="Calibri" w:cs="Calibr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
    <w:nsid w:val="2D607671"/>
    <w:multiLevelType w:val="multilevel"/>
    <w:tmpl w:val="A5D0A25C"/>
    <w:lvl w:ilvl="0">
      <w:start w:val="1"/>
      <w:numFmt w:val="decimal"/>
      <w:pStyle w:val="Style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319C6081"/>
    <w:multiLevelType w:val="hybridMultilevel"/>
    <w:tmpl w:val="A18C2384"/>
    <w:lvl w:ilvl="0" w:tplc="E61C44E0">
      <w:numFmt w:val="bullet"/>
      <w:lvlText w:val="-"/>
      <w:lvlJc w:val="left"/>
      <w:pPr>
        <w:ind w:left="360" w:hanging="360"/>
      </w:pPr>
      <w:rPr>
        <w:rFonts w:ascii="Calibri" w:eastAsiaTheme="minorHAnsi" w:hAnsi="Calibri" w:cs="Calibr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
    <w:nsid w:val="540C21B3"/>
    <w:multiLevelType w:val="hybridMultilevel"/>
    <w:tmpl w:val="0CC4348A"/>
    <w:lvl w:ilvl="0" w:tplc="DE7E0792">
      <w:start w:val="9"/>
      <w:numFmt w:val="decimal"/>
      <w:lvlText w:val="%1."/>
      <w:lvlJc w:val="left"/>
      <w:pPr>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6CE6A57"/>
    <w:multiLevelType w:val="hybridMultilevel"/>
    <w:tmpl w:val="CA3876FE"/>
    <w:lvl w:ilvl="0" w:tplc="E61C44E0">
      <w:numFmt w:val="bullet"/>
      <w:lvlText w:val="-"/>
      <w:lvlJc w:val="left"/>
      <w:pPr>
        <w:ind w:left="360" w:hanging="360"/>
      </w:pPr>
      <w:rPr>
        <w:rFonts w:ascii="Calibri" w:eastAsiaTheme="minorHAnsi" w:hAnsi="Calibri" w:cs="Calibr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
    <w:nsid w:val="60F30FCA"/>
    <w:multiLevelType w:val="hybridMultilevel"/>
    <w:tmpl w:val="E3DC35EA"/>
    <w:lvl w:ilvl="0" w:tplc="BBBEFF60">
      <w:start w:val="1"/>
      <w:numFmt w:val="lowerRoman"/>
      <w:lvlText w:val="%1."/>
      <w:lvlJc w:val="right"/>
      <w:pPr>
        <w:ind w:left="360" w:hanging="360"/>
      </w:pPr>
      <w:rPr>
        <w:rFonts w:hint="default"/>
        <w:color w:val="auto"/>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7">
    <w:nsid w:val="661F0F6D"/>
    <w:multiLevelType w:val="hybridMultilevel"/>
    <w:tmpl w:val="07A49202"/>
    <w:lvl w:ilvl="0" w:tplc="E61C44E0">
      <w:numFmt w:val="bullet"/>
      <w:lvlText w:val="-"/>
      <w:lvlJc w:val="left"/>
      <w:pPr>
        <w:ind w:left="360" w:hanging="360"/>
      </w:pPr>
      <w:rPr>
        <w:rFonts w:ascii="Calibri" w:eastAsiaTheme="minorHAnsi" w:hAnsi="Calibri" w:cs="Calibr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8">
    <w:nsid w:val="69FA7473"/>
    <w:multiLevelType w:val="hybridMultilevel"/>
    <w:tmpl w:val="C9AC722C"/>
    <w:lvl w:ilvl="0" w:tplc="E61C44E0">
      <w:numFmt w:val="bullet"/>
      <w:lvlText w:val="-"/>
      <w:lvlJc w:val="left"/>
      <w:pPr>
        <w:ind w:left="360" w:hanging="360"/>
      </w:pPr>
      <w:rPr>
        <w:rFonts w:ascii="Calibri" w:eastAsiaTheme="minorHAnsi" w:hAnsi="Calibri" w:cs="Calibr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7"/>
  </w:num>
  <w:num w:numId="6">
    <w:abstractNumId w:val="6"/>
  </w:num>
  <w:num w:numId="7">
    <w:abstractNumId w:val="4"/>
  </w:num>
  <w:num w:numId="8">
    <w:abstractNumId w:val="8"/>
  </w:num>
  <w:num w:numId="9">
    <w:abstractNumId w:val="1"/>
  </w:num>
  <w:num w:numId="10">
    <w:abstractNumId w:val="2"/>
  </w:num>
  <w:num w:numId="11">
    <w:abstractNumId w:val="2"/>
  </w:num>
  <w:num w:numId="12">
    <w:abstractNumId w:val="2"/>
  </w:num>
  <w:num w:numId="13">
    <w:abstractNumId w:val="2"/>
  </w:num>
  <w:num w:numId="14">
    <w:abstractNumId w:val="2"/>
  </w:num>
  <w:num w:numId="1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CORRIGENDUM" w:val="&lt;UNUSED&gt;"/>
    <w:docVar w:name="LW_COVERPAGE_EXISTS" w:val="True"/>
    <w:docVar w:name="LW_COVERPAGE_GUID" w:val="FC7F648D-4309-4357-92D9-AD41CE55B12B"/>
    <w:docVar w:name="LW_COVERPAGE_TYPE" w:val="1"/>
    <w:docVar w:name="LW_CROSSREFERENCE" w:val="{SWD(2020) 214 final}"/>
    <w:docVar w:name="LW_DocType" w:val="NORMAL"/>
    <w:docVar w:name="LW_EMISSION" w:val="30.9.2020"/>
    <w:docVar w:name="LW_EMISSION_ISODATE" w:val="2020-09-30"/>
    <w:docVar w:name="LW_EMISSION_LOCATION" w:val="BRX"/>
    <w:docVar w:name="LW_EMISSION_PREFIX" w:val="Brussels, "/>
    <w:docVar w:name="LW_EMISSION_SUFFIX" w:val=" "/>
    <w:docVar w:name="LW_ID_DOCTYPE_NONLW" w:val="CP-014"/>
    <w:docVar w:name="LW_LANGUE" w:val="EN"/>
    <w:docVar w:name="LW_LEVEL_OF_SENSITIVITY" w:val="Standard treatment"/>
    <w:docVar w:name="LW_NOM.INST" w:val="EUROPEAN COMMISSION"/>
    <w:docVar w:name="LW_NOM.INST_JOINTDOC" w:val="&lt;EMPTY&gt;"/>
    <w:docVar w:name="LW_PART_NBR" w:val="1"/>
    <w:docVar w:name="LW_PART_NBR_TOTAL" w:val="1"/>
    <w:docVar w:name="LW_REF.INST.NEW" w:val="COM"/>
    <w:docVar w:name="LW_REF.INST.NEW_ADOPTED" w:val="&lt;EMPTY&gt;"/>
    <w:docVar w:name="LW_REF.INST.NEW_TEXT" w:val="(2020) 628 final"/>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 new ERA for Research and Innovation"/>
    <w:docVar w:name="LW_TYPE.DOC.CP" w:val="COMMUNICATION FROM THE COMMISSION TO THE EUROPEAN PARLIAMENT, THE COUNCIL, THE EUROPEAN ECONOMIC AND SOCIAL COMMITTEE AND THE COMMITTEE OF THE REGIONS"/>
    <w:docVar w:name="LW_TYPE.DOC.CP.USERTEXT" w:val=" "/>
  </w:docVars>
  <w:rsids>
    <w:rsidRoot w:val="008F6CD9"/>
    <w:rsid w:val="00000CFD"/>
    <w:rsid w:val="00000D79"/>
    <w:rsid w:val="0000107A"/>
    <w:rsid w:val="00003679"/>
    <w:rsid w:val="00003A8C"/>
    <w:rsid w:val="00005100"/>
    <w:rsid w:val="000059FB"/>
    <w:rsid w:val="0000650F"/>
    <w:rsid w:val="000068C6"/>
    <w:rsid w:val="00006B97"/>
    <w:rsid w:val="00013ACD"/>
    <w:rsid w:val="00013D29"/>
    <w:rsid w:val="000145B7"/>
    <w:rsid w:val="000151A3"/>
    <w:rsid w:val="00015FA5"/>
    <w:rsid w:val="00016397"/>
    <w:rsid w:val="00016990"/>
    <w:rsid w:val="0001708A"/>
    <w:rsid w:val="000179DF"/>
    <w:rsid w:val="00020F1B"/>
    <w:rsid w:val="00022D55"/>
    <w:rsid w:val="000237E9"/>
    <w:rsid w:val="000238C2"/>
    <w:rsid w:val="00024379"/>
    <w:rsid w:val="00025430"/>
    <w:rsid w:val="00025A63"/>
    <w:rsid w:val="00026147"/>
    <w:rsid w:val="0002615C"/>
    <w:rsid w:val="00026195"/>
    <w:rsid w:val="0002646F"/>
    <w:rsid w:val="0002780E"/>
    <w:rsid w:val="0002787A"/>
    <w:rsid w:val="00027BCE"/>
    <w:rsid w:val="0003063D"/>
    <w:rsid w:val="00031109"/>
    <w:rsid w:val="000333FB"/>
    <w:rsid w:val="000350CE"/>
    <w:rsid w:val="00035D98"/>
    <w:rsid w:val="0003602A"/>
    <w:rsid w:val="00036C54"/>
    <w:rsid w:val="0003764A"/>
    <w:rsid w:val="0003766C"/>
    <w:rsid w:val="000402B1"/>
    <w:rsid w:val="000427DA"/>
    <w:rsid w:val="000438C4"/>
    <w:rsid w:val="00043ECC"/>
    <w:rsid w:val="00043FE0"/>
    <w:rsid w:val="000444FA"/>
    <w:rsid w:val="000447E1"/>
    <w:rsid w:val="000453A4"/>
    <w:rsid w:val="00045CF3"/>
    <w:rsid w:val="00047476"/>
    <w:rsid w:val="0005076B"/>
    <w:rsid w:val="00050914"/>
    <w:rsid w:val="0005295B"/>
    <w:rsid w:val="000531C2"/>
    <w:rsid w:val="0005563C"/>
    <w:rsid w:val="0005640D"/>
    <w:rsid w:val="000569EF"/>
    <w:rsid w:val="00057A95"/>
    <w:rsid w:val="00057B07"/>
    <w:rsid w:val="00060602"/>
    <w:rsid w:val="00061FC3"/>
    <w:rsid w:val="000636AE"/>
    <w:rsid w:val="00063A94"/>
    <w:rsid w:val="00064BBC"/>
    <w:rsid w:val="00065C10"/>
    <w:rsid w:val="0006643A"/>
    <w:rsid w:val="0006704B"/>
    <w:rsid w:val="00072C35"/>
    <w:rsid w:val="0007373B"/>
    <w:rsid w:val="00074178"/>
    <w:rsid w:val="00074A43"/>
    <w:rsid w:val="0007525F"/>
    <w:rsid w:val="000758B5"/>
    <w:rsid w:val="0007668B"/>
    <w:rsid w:val="00077476"/>
    <w:rsid w:val="000774A3"/>
    <w:rsid w:val="00080A6B"/>
    <w:rsid w:val="00080B50"/>
    <w:rsid w:val="00081F06"/>
    <w:rsid w:val="0008383F"/>
    <w:rsid w:val="00084D7E"/>
    <w:rsid w:val="000859BA"/>
    <w:rsid w:val="00086A12"/>
    <w:rsid w:val="00087766"/>
    <w:rsid w:val="00090662"/>
    <w:rsid w:val="00091286"/>
    <w:rsid w:val="00091511"/>
    <w:rsid w:val="0009181D"/>
    <w:rsid w:val="00092507"/>
    <w:rsid w:val="00092A79"/>
    <w:rsid w:val="00094D8F"/>
    <w:rsid w:val="000968AD"/>
    <w:rsid w:val="000979F6"/>
    <w:rsid w:val="00097C3D"/>
    <w:rsid w:val="000A18C6"/>
    <w:rsid w:val="000A1FB5"/>
    <w:rsid w:val="000A4188"/>
    <w:rsid w:val="000A786E"/>
    <w:rsid w:val="000B0A82"/>
    <w:rsid w:val="000B26F0"/>
    <w:rsid w:val="000B35FF"/>
    <w:rsid w:val="000B57AB"/>
    <w:rsid w:val="000B70A4"/>
    <w:rsid w:val="000B70A6"/>
    <w:rsid w:val="000B75CB"/>
    <w:rsid w:val="000C291F"/>
    <w:rsid w:val="000C2DE0"/>
    <w:rsid w:val="000C36D9"/>
    <w:rsid w:val="000C37EF"/>
    <w:rsid w:val="000C38CB"/>
    <w:rsid w:val="000C394C"/>
    <w:rsid w:val="000C3DBA"/>
    <w:rsid w:val="000C427D"/>
    <w:rsid w:val="000C4F01"/>
    <w:rsid w:val="000C4F4E"/>
    <w:rsid w:val="000C5938"/>
    <w:rsid w:val="000C6DA5"/>
    <w:rsid w:val="000C6FCE"/>
    <w:rsid w:val="000C7188"/>
    <w:rsid w:val="000C778D"/>
    <w:rsid w:val="000D0792"/>
    <w:rsid w:val="000D2234"/>
    <w:rsid w:val="000D42E7"/>
    <w:rsid w:val="000D46E6"/>
    <w:rsid w:val="000D610F"/>
    <w:rsid w:val="000D66E6"/>
    <w:rsid w:val="000D6EF3"/>
    <w:rsid w:val="000D77DD"/>
    <w:rsid w:val="000E037D"/>
    <w:rsid w:val="000E1473"/>
    <w:rsid w:val="000E1C75"/>
    <w:rsid w:val="000E2C91"/>
    <w:rsid w:val="000E68FC"/>
    <w:rsid w:val="000E6E52"/>
    <w:rsid w:val="000E73FD"/>
    <w:rsid w:val="000E78A1"/>
    <w:rsid w:val="000F1312"/>
    <w:rsid w:val="000F1CE6"/>
    <w:rsid w:val="000F3803"/>
    <w:rsid w:val="000F3AAD"/>
    <w:rsid w:val="000F4141"/>
    <w:rsid w:val="000F5ECE"/>
    <w:rsid w:val="000F7050"/>
    <w:rsid w:val="000F7756"/>
    <w:rsid w:val="000F7AB7"/>
    <w:rsid w:val="00100C1D"/>
    <w:rsid w:val="00100DFC"/>
    <w:rsid w:val="00101821"/>
    <w:rsid w:val="0010264A"/>
    <w:rsid w:val="00103A43"/>
    <w:rsid w:val="00104216"/>
    <w:rsid w:val="00105D63"/>
    <w:rsid w:val="00106023"/>
    <w:rsid w:val="001066D9"/>
    <w:rsid w:val="00106EFF"/>
    <w:rsid w:val="00107CAC"/>
    <w:rsid w:val="00111BB4"/>
    <w:rsid w:val="001122F6"/>
    <w:rsid w:val="00112CC2"/>
    <w:rsid w:val="00112FBF"/>
    <w:rsid w:val="001131CB"/>
    <w:rsid w:val="00113604"/>
    <w:rsid w:val="0011399B"/>
    <w:rsid w:val="00115688"/>
    <w:rsid w:val="001157C4"/>
    <w:rsid w:val="00116D73"/>
    <w:rsid w:val="001178DD"/>
    <w:rsid w:val="00117C7B"/>
    <w:rsid w:val="001200EA"/>
    <w:rsid w:val="001202C0"/>
    <w:rsid w:val="00120443"/>
    <w:rsid w:val="0012072B"/>
    <w:rsid w:val="0012128D"/>
    <w:rsid w:val="00121CFB"/>
    <w:rsid w:val="001228E5"/>
    <w:rsid w:val="00122C16"/>
    <w:rsid w:val="00123D65"/>
    <w:rsid w:val="00123DEA"/>
    <w:rsid w:val="00124917"/>
    <w:rsid w:val="00125461"/>
    <w:rsid w:val="00127FA8"/>
    <w:rsid w:val="00130674"/>
    <w:rsid w:val="00130825"/>
    <w:rsid w:val="00130D11"/>
    <w:rsid w:val="00132BBE"/>
    <w:rsid w:val="00133DA3"/>
    <w:rsid w:val="001349A4"/>
    <w:rsid w:val="001359BB"/>
    <w:rsid w:val="00135F23"/>
    <w:rsid w:val="00136DEB"/>
    <w:rsid w:val="001370E7"/>
    <w:rsid w:val="001403B0"/>
    <w:rsid w:val="001406D1"/>
    <w:rsid w:val="001419B0"/>
    <w:rsid w:val="00142BA2"/>
    <w:rsid w:val="00143A9E"/>
    <w:rsid w:val="00144204"/>
    <w:rsid w:val="001462DE"/>
    <w:rsid w:val="00146717"/>
    <w:rsid w:val="00150088"/>
    <w:rsid w:val="001527A5"/>
    <w:rsid w:val="00152C56"/>
    <w:rsid w:val="0015305A"/>
    <w:rsid w:val="00154321"/>
    <w:rsid w:val="0015615A"/>
    <w:rsid w:val="001565E0"/>
    <w:rsid w:val="001600FE"/>
    <w:rsid w:val="001617E8"/>
    <w:rsid w:val="001621BD"/>
    <w:rsid w:val="00162B4D"/>
    <w:rsid w:val="00164ADF"/>
    <w:rsid w:val="001650B4"/>
    <w:rsid w:val="00171C10"/>
    <w:rsid w:val="0017367C"/>
    <w:rsid w:val="00174906"/>
    <w:rsid w:val="00174D61"/>
    <w:rsid w:val="00177885"/>
    <w:rsid w:val="00181231"/>
    <w:rsid w:val="0018249A"/>
    <w:rsid w:val="00182BB9"/>
    <w:rsid w:val="00183141"/>
    <w:rsid w:val="00183B32"/>
    <w:rsid w:val="001840BC"/>
    <w:rsid w:val="00185BBB"/>
    <w:rsid w:val="00185D8B"/>
    <w:rsid w:val="001865C5"/>
    <w:rsid w:val="001867D0"/>
    <w:rsid w:val="001867E6"/>
    <w:rsid w:val="00186B1F"/>
    <w:rsid w:val="00187023"/>
    <w:rsid w:val="00191959"/>
    <w:rsid w:val="00194271"/>
    <w:rsid w:val="001A193B"/>
    <w:rsid w:val="001A2B70"/>
    <w:rsid w:val="001A33E9"/>
    <w:rsid w:val="001A3F54"/>
    <w:rsid w:val="001A5F94"/>
    <w:rsid w:val="001B01B5"/>
    <w:rsid w:val="001B0E39"/>
    <w:rsid w:val="001B107B"/>
    <w:rsid w:val="001B1E70"/>
    <w:rsid w:val="001B274E"/>
    <w:rsid w:val="001B2C6F"/>
    <w:rsid w:val="001B3986"/>
    <w:rsid w:val="001B3F05"/>
    <w:rsid w:val="001B4658"/>
    <w:rsid w:val="001B5F3C"/>
    <w:rsid w:val="001B64C7"/>
    <w:rsid w:val="001B70A1"/>
    <w:rsid w:val="001B76E3"/>
    <w:rsid w:val="001C0CEC"/>
    <w:rsid w:val="001C1C95"/>
    <w:rsid w:val="001C201B"/>
    <w:rsid w:val="001C35B4"/>
    <w:rsid w:val="001C6784"/>
    <w:rsid w:val="001C7174"/>
    <w:rsid w:val="001C753E"/>
    <w:rsid w:val="001D1786"/>
    <w:rsid w:val="001D19F2"/>
    <w:rsid w:val="001D1BF8"/>
    <w:rsid w:val="001D206D"/>
    <w:rsid w:val="001D34A2"/>
    <w:rsid w:val="001D3761"/>
    <w:rsid w:val="001D630E"/>
    <w:rsid w:val="001E00B0"/>
    <w:rsid w:val="001E0659"/>
    <w:rsid w:val="001E14F5"/>
    <w:rsid w:val="001E49AE"/>
    <w:rsid w:val="001E4F70"/>
    <w:rsid w:val="001E51F7"/>
    <w:rsid w:val="001E5D5C"/>
    <w:rsid w:val="001E7D93"/>
    <w:rsid w:val="001F15B9"/>
    <w:rsid w:val="001F3F49"/>
    <w:rsid w:val="001F76F0"/>
    <w:rsid w:val="002001F5"/>
    <w:rsid w:val="00201462"/>
    <w:rsid w:val="00204013"/>
    <w:rsid w:val="002059DA"/>
    <w:rsid w:val="0020604B"/>
    <w:rsid w:val="002067D7"/>
    <w:rsid w:val="00207999"/>
    <w:rsid w:val="00210D41"/>
    <w:rsid w:val="00210D87"/>
    <w:rsid w:val="0021101B"/>
    <w:rsid w:val="00211A97"/>
    <w:rsid w:val="00211CA4"/>
    <w:rsid w:val="0021224E"/>
    <w:rsid w:val="00212A3B"/>
    <w:rsid w:val="00212BD8"/>
    <w:rsid w:val="00212C9F"/>
    <w:rsid w:val="00213BCA"/>
    <w:rsid w:val="002149E8"/>
    <w:rsid w:val="00214AF0"/>
    <w:rsid w:val="00214FAA"/>
    <w:rsid w:val="0021598A"/>
    <w:rsid w:val="00217BFB"/>
    <w:rsid w:val="00220B7F"/>
    <w:rsid w:val="0022101B"/>
    <w:rsid w:val="00221424"/>
    <w:rsid w:val="00221B53"/>
    <w:rsid w:val="00222138"/>
    <w:rsid w:val="0022277D"/>
    <w:rsid w:val="00222CB9"/>
    <w:rsid w:val="00224EFE"/>
    <w:rsid w:val="00225078"/>
    <w:rsid w:val="002267FB"/>
    <w:rsid w:val="00230E81"/>
    <w:rsid w:val="002311B7"/>
    <w:rsid w:val="0023161F"/>
    <w:rsid w:val="00231B96"/>
    <w:rsid w:val="002332F8"/>
    <w:rsid w:val="00237984"/>
    <w:rsid w:val="002403D7"/>
    <w:rsid w:val="00240674"/>
    <w:rsid w:val="00241492"/>
    <w:rsid w:val="00241828"/>
    <w:rsid w:val="002427C4"/>
    <w:rsid w:val="002431F6"/>
    <w:rsid w:val="002443F6"/>
    <w:rsid w:val="00244E72"/>
    <w:rsid w:val="00246B8F"/>
    <w:rsid w:val="00247373"/>
    <w:rsid w:val="00247F7B"/>
    <w:rsid w:val="00250087"/>
    <w:rsid w:val="002511DD"/>
    <w:rsid w:val="002515D6"/>
    <w:rsid w:val="00251B8D"/>
    <w:rsid w:val="00253701"/>
    <w:rsid w:val="002543B4"/>
    <w:rsid w:val="002547B9"/>
    <w:rsid w:val="0025781E"/>
    <w:rsid w:val="00257AA3"/>
    <w:rsid w:val="002613E7"/>
    <w:rsid w:val="002636D8"/>
    <w:rsid w:val="0026395B"/>
    <w:rsid w:val="00263AA9"/>
    <w:rsid w:val="00264498"/>
    <w:rsid w:val="002668CD"/>
    <w:rsid w:val="00266F52"/>
    <w:rsid w:val="00270728"/>
    <w:rsid w:val="00273CFD"/>
    <w:rsid w:val="00275321"/>
    <w:rsid w:val="002767BA"/>
    <w:rsid w:val="00277AAD"/>
    <w:rsid w:val="00277DFF"/>
    <w:rsid w:val="00284034"/>
    <w:rsid w:val="00284645"/>
    <w:rsid w:val="00284D03"/>
    <w:rsid w:val="00285228"/>
    <w:rsid w:val="00285B3F"/>
    <w:rsid w:val="0028620D"/>
    <w:rsid w:val="00286287"/>
    <w:rsid w:val="002865D9"/>
    <w:rsid w:val="00286E92"/>
    <w:rsid w:val="00291269"/>
    <w:rsid w:val="00292F02"/>
    <w:rsid w:val="00293056"/>
    <w:rsid w:val="00293D77"/>
    <w:rsid w:val="002947F0"/>
    <w:rsid w:val="00295034"/>
    <w:rsid w:val="0029510E"/>
    <w:rsid w:val="00295A91"/>
    <w:rsid w:val="00296AD8"/>
    <w:rsid w:val="002979E6"/>
    <w:rsid w:val="00297F5E"/>
    <w:rsid w:val="002A07E8"/>
    <w:rsid w:val="002A07F2"/>
    <w:rsid w:val="002A08EA"/>
    <w:rsid w:val="002B19F5"/>
    <w:rsid w:val="002B367B"/>
    <w:rsid w:val="002B6590"/>
    <w:rsid w:val="002B7E75"/>
    <w:rsid w:val="002C248A"/>
    <w:rsid w:val="002C2F8F"/>
    <w:rsid w:val="002C3299"/>
    <w:rsid w:val="002C3EB5"/>
    <w:rsid w:val="002C4504"/>
    <w:rsid w:val="002C50A4"/>
    <w:rsid w:val="002C6486"/>
    <w:rsid w:val="002C6924"/>
    <w:rsid w:val="002C7B9E"/>
    <w:rsid w:val="002D4396"/>
    <w:rsid w:val="002D452A"/>
    <w:rsid w:val="002D6198"/>
    <w:rsid w:val="002D77F4"/>
    <w:rsid w:val="002E0596"/>
    <w:rsid w:val="002E1194"/>
    <w:rsid w:val="002E2124"/>
    <w:rsid w:val="002E21E8"/>
    <w:rsid w:val="002E2FE1"/>
    <w:rsid w:val="002E37D8"/>
    <w:rsid w:val="002E4887"/>
    <w:rsid w:val="002E6394"/>
    <w:rsid w:val="002E64C5"/>
    <w:rsid w:val="002E669F"/>
    <w:rsid w:val="002E696F"/>
    <w:rsid w:val="002F0F95"/>
    <w:rsid w:val="002F1CF0"/>
    <w:rsid w:val="002F2645"/>
    <w:rsid w:val="002F3147"/>
    <w:rsid w:val="002F5D94"/>
    <w:rsid w:val="002F6962"/>
    <w:rsid w:val="002F7AB2"/>
    <w:rsid w:val="00301E45"/>
    <w:rsid w:val="00302644"/>
    <w:rsid w:val="00303F3A"/>
    <w:rsid w:val="00304016"/>
    <w:rsid w:val="00305789"/>
    <w:rsid w:val="003059E8"/>
    <w:rsid w:val="0030607D"/>
    <w:rsid w:val="00306594"/>
    <w:rsid w:val="00306678"/>
    <w:rsid w:val="00307B2F"/>
    <w:rsid w:val="00310518"/>
    <w:rsid w:val="00310FBD"/>
    <w:rsid w:val="00311EE0"/>
    <w:rsid w:val="00314A1E"/>
    <w:rsid w:val="00315082"/>
    <w:rsid w:val="00322337"/>
    <w:rsid w:val="00322F04"/>
    <w:rsid w:val="00323A15"/>
    <w:rsid w:val="00324874"/>
    <w:rsid w:val="0032631D"/>
    <w:rsid w:val="003268DB"/>
    <w:rsid w:val="00330E57"/>
    <w:rsid w:val="00331AC4"/>
    <w:rsid w:val="0033233F"/>
    <w:rsid w:val="00335307"/>
    <w:rsid w:val="00337152"/>
    <w:rsid w:val="00337E83"/>
    <w:rsid w:val="00340081"/>
    <w:rsid w:val="00341076"/>
    <w:rsid w:val="00341095"/>
    <w:rsid w:val="0034361E"/>
    <w:rsid w:val="00343A77"/>
    <w:rsid w:val="0035141C"/>
    <w:rsid w:val="0035265E"/>
    <w:rsid w:val="0035342E"/>
    <w:rsid w:val="003579C1"/>
    <w:rsid w:val="00357CDA"/>
    <w:rsid w:val="00357D4F"/>
    <w:rsid w:val="00361A96"/>
    <w:rsid w:val="0036216F"/>
    <w:rsid w:val="00365F31"/>
    <w:rsid w:val="0036674A"/>
    <w:rsid w:val="0036682E"/>
    <w:rsid w:val="003677F4"/>
    <w:rsid w:val="0037139F"/>
    <w:rsid w:val="003715C2"/>
    <w:rsid w:val="0037331C"/>
    <w:rsid w:val="00373EE3"/>
    <w:rsid w:val="00374237"/>
    <w:rsid w:val="003745D0"/>
    <w:rsid w:val="00374B76"/>
    <w:rsid w:val="00375BE4"/>
    <w:rsid w:val="003770D3"/>
    <w:rsid w:val="0037718C"/>
    <w:rsid w:val="003771CC"/>
    <w:rsid w:val="0038015B"/>
    <w:rsid w:val="00380EF2"/>
    <w:rsid w:val="00382DAD"/>
    <w:rsid w:val="00385A0C"/>
    <w:rsid w:val="00387000"/>
    <w:rsid w:val="00387B9C"/>
    <w:rsid w:val="00387E24"/>
    <w:rsid w:val="0039064C"/>
    <w:rsid w:val="00390C15"/>
    <w:rsid w:val="00391408"/>
    <w:rsid w:val="003925E3"/>
    <w:rsid w:val="00392AF4"/>
    <w:rsid w:val="00393D26"/>
    <w:rsid w:val="00393EF2"/>
    <w:rsid w:val="00395774"/>
    <w:rsid w:val="00395960"/>
    <w:rsid w:val="00395A5F"/>
    <w:rsid w:val="00396DEA"/>
    <w:rsid w:val="003973EB"/>
    <w:rsid w:val="003A03DB"/>
    <w:rsid w:val="003A1AF6"/>
    <w:rsid w:val="003A261A"/>
    <w:rsid w:val="003A3B13"/>
    <w:rsid w:val="003A4572"/>
    <w:rsid w:val="003A550B"/>
    <w:rsid w:val="003A625D"/>
    <w:rsid w:val="003A6B6B"/>
    <w:rsid w:val="003B067D"/>
    <w:rsid w:val="003B0FD7"/>
    <w:rsid w:val="003B1173"/>
    <w:rsid w:val="003B19FE"/>
    <w:rsid w:val="003B1EED"/>
    <w:rsid w:val="003B4353"/>
    <w:rsid w:val="003B488E"/>
    <w:rsid w:val="003C19D4"/>
    <w:rsid w:val="003C4F46"/>
    <w:rsid w:val="003C57F7"/>
    <w:rsid w:val="003C65B2"/>
    <w:rsid w:val="003D16DB"/>
    <w:rsid w:val="003D18C9"/>
    <w:rsid w:val="003D2C83"/>
    <w:rsid w:val="003D4CD7"/>
    <w:rsid w:val="003D4F06"/>
    <w:rsid w:val="003D627F"/>
    <w:rsid w:val="003D65C3"/>
    <w:rsid w:val="003D662B"/>
    <w:rsid w:val="003D7685"/>
    <w:rsid w:val="003E0908"/>
    <w:rsid w:val="003E12F0"/>
    <w:rsid w:val="003E17A0"/>
    <w:rsid w:val="003E193A"/>
    <w:rsid w:val="003E4134"/>
    <w:rsid w:val="003E4AD4"/>
    <w:rsid w:val="003E4C19"/>
    <w:rsid w:val="003E5685"/>
    <w:rsid w:val="003E67BF"/>
    <w:rsid w:val="003E6CAB"/>
    <w:rsid w:val="003F1A2F"/>
    <w:rsid w:val="003F2B90"/>
    <w:rsid w:val="003F5CC5"/>
    <w:rsid w:val="003F5E99"/>
    <w:rsid w:val="003F5EC3"/>
    <w:rsid w:val="003F679E"/>
    <w:rsid w:val="003F6814"/>
    <w:rsid w:val="003F7EF9"/>
    <w:rsid w:val="00403191"/>
    <w:rsid w:val="004039AE"/>
    <w:rsid w:val="00405224"/>
    <w:rsid w:val="0040584D"/>
    <w:rsid w:val="00407326"/>
    <w:rsid w:val="004076E4"/>
    <w:rsid w:val="004106BB"/>
    <w:rsid w:val="0041170C"/>
    <w:rsid w:val="00411F43"/>
    <w:rsid w:val="00412EFA"/>
    <w:rsid w:val="00414021"/>
    <w:rsid w:val="0041563B"/>
    <w:rsid w:val="004157D0"/>
    <w:rsid w:val="004158F1"/>
    <w:rsid w:val="0041641E"/>
    <w:rsid w:val="00417177"/>
    <w:rsid w:val="004175F6"/>
    <w:rsid w:val="00417BB1"/>
    <w:rsid w:val="00420DE6"/>
    <w:rsid w:val="0042337F"/>
    <w:rsid w:val="00424FA0"/>
    <w:rsid w:val="004256A8"/>
    <w:rsid w:val="0042577E"/>
    <w:rsid w:val="00426471"/>
    <w:rsid w:val="00426D1A"/>
    <w:rsid w:val="0042744A"/>
    <w:rsid w:val="00430B1C"/>
    <w:rsid w:val="00431A4B"/>
    <w:rsid w:val="00433AB0"/>
    <w:rsid w:val="00437E56"/>
    <w:rsid w:val="004403E1"/>
    <w:rsid w:val="00440976"/>
    <w:rsid w:val="004426DB"/>
    <w:rsid w:val="00443321"/>
    <w:rsid w:val="004449CB"/>
    <w:rsid w:val="00445D58"/>
    <w:rsid w:val="00445DB8"/>
    <w:rsid w:val="00445F72"/>
    <w:rsid w:val="0044632F"/>
    <w:rsid w:val="00446C4A"/>
    <w:rsid w:val="00450241"/>
    <w:rsid w:val="00451624"/>
    <w:rsid w:val="00451817"/>
    <w:rsid w:val="00452883"/>
    <w:rsid w:val="00452A28"/>
    <w:rsid w:val="004544F2"/>
    <w:rsid w:val="00455075"/>
    <w:rsid w:val="00456643"/>
    <w:rsid w:val="00460AE4"/>
    <w:rsid w:val="004611EE"/>
    <w:rsid w:val="004614DF"/>
    <w:rsid w:val="004624BB"/>
    <w:rsid w:val="004638BD"/>
    <w:rsid w:val="004647E2"/>
    <w:rsid w:val="0047014A"/>
    <w:rsid w:val="004712F9"/>
    <w:rsid w:val="00473B66"/>
    <w:rsid w:val="00474250"/>
    <w:rsid w:val="00474D98"/>
    <w:rsid w:val="00477099"/>
    <w:rsid w:val="00477262"/>
    <w:rsid w:val="00482649"/>
    <w:rsid w:val="00485DE8"/>
    <w:rsid w:val="00485E0F"/>
    <w:rsid w:val="004909DD"/>
    <w:rsid w:val="00490A28"/>
    <w:rsid w:val="00491679"/>
    <w:rsid w:val="00492605"/>
    <w:rsid w:val="00492C32"/>
    <w:rsid w:val="00492D1C"/>
    <w:rsid w:val="00493627"/>
    <w:rsid w:val="00493C68"/>
    <w:rsid w:val="004953C3"/>
    <w:rsid w:val="0049600B"/>
    <w:rsid w:val="004A1DA6"/>
    <w:rsid w:val="004A2D1D"/>
    <w:rsid w:val="004A3771"/>
    <w:rsid w:val="004A3D47"/>
    <w:rsid w:val="004A3E96"/>
    <w:rsid w:val="004A44DB"/>
    <w:rsid w:val="004A5BB4"/>
    <w:rsid w:val="004A5D71"/>
    <w:rsid w:val="004B4752"/>
    <w:rsid w:val="004B483C"/>
    <w:rsid w:val="004B7C40"/>
    <w:rsid w:val="004C0005"/>
    <w:rsid w:val="004C033B"/>
    <w:rsid w:val="004C1471"/>
    <w:rsid w:val="004C1F97"/>
    <w:rsid w:val="004C2039"/>
    <w:rsid w:val="004C393A"/>
    <w:rsid w:val="004C3B05"/>
    <w:rsid w:val="004C46E8"/>
    <w:rsid w:val="004C4F0E"/>
    <w:rsid w:val="004C6402"/>
    <w:rsid w:val="004C70A4"/>
    <w:rsid w:val="004C70EC"/>
    <w:rsid w:val="004C7689"/>
    <w:rsid w:val="004D0B6E"/>
    <w:rsid w:val="004D1A7E"/>
    <w:rsid w:val="004D1D8B"/>
    <w:rsid w:val="004D1DFE"/>
    <w:rsid w:val="004D217F"/>
    <w:rsid w:val="004D281F"/>
    <w:rsid w:val="004D2E4B"/>
    <w:rsid w:val="004D6B54"/>
    <w:rsid w:val="004D6C53"/>
    <w:rsid w:val="004D7B87"/>
    <w:rsid w:val="004E0C0E"/>
    <w:rsid w:val="004E1116"/>
    <w:rsid w:val="004E143D"/>
    <w:rsid w:val="004E1E0A"/>
    <w:rsid w:val="004E21D6"/>
    <w:rsid w:val="004E352C"/>
    <w:rsid w:val="004E368A"/>
    <w:rsid w:val="004E416A"/>
    <w:rsid w:val="004E4F93"/>
    <w:rsid w:val="004E520E"/>
    <w:rsid w:val="004E5709"/>
    <w:rsid w:val="004F16CD"/>
    <w:rsid w:val="004F30F6"/>
    <w:rsid w:val="004F5249"/>
    <w:rsid w:val="004F590A"/>
    <w:rsid w:val="004F59B1"/>
    <w:rsid w:val="004F5DA5"/>
    <w:rsid w:val="004F5E8E"/>
    <w:rsid w:val="004F75BF"/>
    <w:rsid w:val="004F7B85"/>
    <w:rsid w:val="005006B7"/>
    <w:rsid w:val="00500F05"/>
    <w:rsid w:val="00501212"/>
    <w:rsid w:val="00502A8B"/>
    <w:rsid w:val="0050311D"/>
    <w:rsid w:val="005031E0"/>
    <w:rsid w:val="00504839"/>
    <w:rsid w:val="00506CDD"/>
    <w:rsid w:val="00506DB3"/>
    <w:rsid w:val="0051166F"/>
    <w:rsid w:val="0051396F"/>
    <w:rsid w:val="00517C3D"/>
    <w:rsid w:val="00521268"/>
    <w:rsid w:val="00521495"/>
    <w:rsid w:val="00522085"/>
    <w:rsid w:val="00522167"/>
    <w:rsid w:val="00522809"/>
    <w:rsid w:val="0052288D"/>
    <w:rsid w:val="00524208"/>
    <w:rsid w:val="005246E6"/>
    <w:rsid w:val="005266F3"/>
    <w:rsid w:val="005313E7"/>
    <w:rsid w:val="005317D4"/>
    <w:rsid w:val="00533388"/>
    <w:rsid w:val="00533679"/>
    <w:rsid w:val="00533CAF"/>
    <w:rsid w:val="00534867"/>
    <w:rsid w:val="00535E09"/>
    <w:rsid w:val="0053701B"/>
    <w:rsid w:val="005407FA"/>
    <w:rsid w:val="00541146"/>
    <w:rsid w:val="00543032"/>
    <w:rsid w:val="005434F8"/>
    <w:rsid w:val="005434F9"/>
    <w:rsid w:val="005442BC"/>
    <w:rsid w:val="005478C3"/>
    <w:rsid w:val="00547BC6"/>
    <w:rsid w:val="00551D7C"/>
    <w:rsid w:val="0055264B"/>
    <w:rsid w:val="00552CA6"/>
    <w:rsid w:val="00553AA6"/>
    <w:rsid w:val="00553AE3"/>
    <w:rsid w:val="005605E7"/>
    <w:rsid w:val="00560954"/>
    <w:rsid w:val="00560FD8"/>
    <w:rsid w:val="0056101B"/>
    <w:rsid w:val="005620FB"/>
    <w:rsid w:val="00562A86"/>
    <w:rsid w:val="00565CF6"/>
    <w:rsid w:val="005665B8"/>
    <w:rsid w:val="00570516"/>
    <w:rsid w:val="00572180"/>
    <w:rsid w:val="00573319"/>
    <w:rsid w:val="00573C36"/>
    <w:rsid w:val="00574B1C"/>
    <w:rsid w:val="00574B38"/>
    <w:rsid w:val="00575476"/>
    <w:rsid w:val="005754F7"/>
    <w:rsid w:val="00575594"/>
    <w:rsid w:val="0057574C"/>
    <w:rsid w:val="00576A8D"/>
    <w:rsid w:val="0057764E"/>
    <w:rsid w:val="0058094E"/>
    <w:rsid w:val="005812CF"/>
    <w:rsid w:val="00581C08"/>
    <w:rsid w:val="00585652"/>
    <w:rsid w:val="00585B12"/>
    <w:rsid w:val="00586198"/>
    <w:rsid w:val="00587EBE"/>
    <w:rsid w:val="005901EA"/>
    <w:rsid w:val="0059177C"/>
    <w:rsid w:val="005947E2"/>
    <w:rsid w:val="005947EE"/>
    <w:rsid w:val="00594A2B"/>
    <w:rsid w:val="005952B1"/>
    <w:rsid w:val="0059772D"/>
    <w:rsid w:val="005A0639"/>
    <w:rsid w:val="005A09F9"/>
    <w:rsid w:val="005A114F"/>
    <w:rsid w:val="005A1509"/>
    <w:rsid w:val="005A3432"/>
    <w:rsid w:val="005A3D0C"/>
    <w:rsid w:val="005A3F55"/>
    <w:rsid w:val="005A46F5"/>
    <w:rsid w:val="005A4B56"/>
    <w:rsid w:val="005B0623"/>
    <w:rsid w:val="005B2DAD"/>
    <w:rsid w:val="005B3A4F"/>
    <w:rsid w:val="005B5D21"/>
    <w:rsid w:val="005B6853"/>
    <w:rsid w:val="005C2346"/>
    <w:rsid w:val="005C30F1"/>
    <w:rsid w:val="005C3950"/>
    <w:rsid w:val="005C593C"/>
    <w:rsid w:val="005C6E20"/>
    <w:rsid w:val="005D0255"/>
    <w:rsid w:val="005D2B52"/>
    <w:rsid w:val="005D3FEC"/>
    <w:rsid w:val="005D462A"/>
    <w:rsid w:val="005D5765"/>
    <w:rsid w:val="005D6DA3"/>
    <w:rsid w:val="005D731F"/>
    <w:rsid w:val="005E1D63"/>
    <w:rsid w:val="005E5204"/>
    <w:rsid w:val="005E5D5A"/>
    <w:rsid w:val="005E5DFD"/>
    <w:rsid w:val="005F0598"/>
    <w:rsid w:val="005F05D2"/>
    <w:rsid w:val="005F2327"/>
    <w:rsid w:val="005F2407"/>
    <w:rsid w:val="005F2446"/>
    <w:rsid w:val="005F256B"/>
    <w:rsid w:val="005F35B2"/>
    <w:rsid w:val="005F36F6"/>
    <w:rsid w:val="005F55C2"/>
    <w:rsid w:val="005F660D"/>
    <w:rsid w:val="005F6EC1"/>
    <w:rsid w:val="00600AD4"/>
    <w:rsid w:val="00601CD2"/>
    <w:rsid w:val="00602CDC"/>
    <w:rsid w:val="00603995"/>
    <w:rsid w:val="006048D1"/>
    <w:rsid w:val="00605406"/>
    <w:rsid w:val="006069F2"/>
    <w:rsid w:val="006113EC"/>
    <w:rsid w:val="00612C72"/>
    <w:rsid w:val="006134C1"/>
    <w:rsid w:val="00613FC4"/>
    <w:rsid w:val="00615184"/>
    <w:rsid w:val="006165DF"/>
    <w:rsid w:val="00617011"/>
    <w:rsid w:val="006177F4"/>
    <w:rsid w:val="00617A57"/>
    <w:rsid w:val="00617C65"/>
    <w:rsid w:val="0062020A"/>
    <w:rsid w:val="006202A4"/>
    <w:rsid w:val="00620331"/>
    <w:rsid w:val="0062169C"/>
    <w:rsid w:val="0062255F"/>
    <w:rsid w:val="0062271C"/>
    <w:rsid w:val="00624402"/>
    <w:rsid w:val="006247D4"/>
    <w:rsid w:val="00624A2C"/>
    <w:rsid w:val="00626841"/>
    <w:rsid w:val="00626A47"/>
    <w:rsid w:val="00627851"/>
    <w:rsid w:val="00632797"/>
    <w:rsid w:val="006340BE"/>
    <w:rsid w:val="006355B7"/>
    <w:rsid w:val="00636A9D"/>
    <w:rsid w:val="00640250"/>
    <w:rsid w:val="006407CE"/>
    <w:rsid w:val="006423C6"/>
    <w:rsid w:val="00642A1B"/>
    <w:rsid w:val="006444FA"/>
    <w:rsid w:val="00644C0F"/>
    <w:rsid w:val="00644E6F"/>
    <w:rsid w:val="006457F0"/>
    <w:rsid w:val="00646F51"/>
    <w:rsid w:val="006477C0"/>
    <w:rsid w:val="006477EC"/>
    <w:rsid w:val="00650A69"/>
    <w:rsid w:val="00651A46"/>
    <w:rsid w:val="00651AC3"/>
    <w:rsid w:val="00654E22"/>
    <w:rsid w:val="00655106"/>
    <w:rsid w:val="00655CC0"/>
    <w:rsid w:val="0065709F"/>
    <w:rsid w:val="00657825"/>
    <w:rsid w:val="00657BBD"/>
    <w:rsid w:val="00660E89"/>
    <w:rsid w:val="0066127D"/>
    <w:rsid w:val="0066269A"/>
    <w:rsid w:val="00663E1F"/>
    <w:rsid w:val="00665340"/>
    <w:rsid w:val="006653BE"/>
    <w:rsid w:val="00666F30"/>
    <w:rsid w:val="00670E21"/>
    <w:rsid w:val="00672AFA"/>
    <w:rsid w:val="006755D7"/>
    <w:rsid w:val="00676436"/>
    <w:rsid w:val="00676636"/>
    <w:rsid w:val="006767EC"/>
    <w:rsid w:val="00677535"/>
    <w:rsid w:val="00677540"/>
    <w:rsid w:val="00680917"/>
    <w:rsid w:val="00680F8A"/>
    <w:rsid w:val="00681692"/>
    <w:rsid w:val="00682935"/>
    <w:rsid w:val="00682ACB"/>
    <w:rsid w:val="00683E23"/>
    <w:rsid w:val="0068593A"/>
    <w:rsid w:val="00685CC6"/>
    <w:rsid w:val="00687672"/>
    <w:rsid w:val="006903CA"/>
    <w:rsid w:val="006912BC"/>
    <w:rsid w:val="00691AE7"/>
    <w:rsid w:val="00693164"/>
    <w:rsid w:val="006931B5"/>
    <w:rsid w:val="00693D0E"/>
    <w:rsid w:val="0069426D"/>
    <w:rsid w:val="006A0549"/>
    <w:rsid w:val="006A7BE1"/>
    <w:rsid w:val="006B0099"/>
    <w:rsid w:val="006B1FBC"/>
    <w:rsid w:val="006B2350"/>
    <w:rsid w:val="006B2904"/>
    <w:rsid w:val="006B2EDF"/>
    <w:rsid w:val="006B4504"/>
    <w:rsid w:val="006B5B28"/>
    <w:rsid w:val="006C1882"/>
    <w:rsid w:val="006C2207"/>
    <w:rsid w:val="006C38BC"/>
    <w:rsid w:val="006C3BB0"/>
    <w:rsid w:val="006C4D0F"/>
    <w:rsid w:val="006C737A"/>
    <w:rsid w:val="006C77C5"/>
    <w:rsid w:val="006D17C9"/>
    <w:rsid w:val="006D2770"/>
    <w:rsid w:val="006D3159"/>
    <w:rsid w:val="006D4EA2"/>
    <w:rsid w:val="006D5ED3"/>
    <w:rsid w:val="006D6AA0"/>
    <w:rsid w:val="006D6D9C"/>
    <w:rsid w:val="006D79D2"/>
    <w:rsid w:val="006D7C0F"/>
    <w:rsid w:val="006D7EA8"/>
    <w:rsid w:val="006D7F00"/>
    <w:rsid w:val="006E081B"/>
    <w:rsid w:val="006E089D"/>
    <w:rsid w:val="006E12A2"/>
    <w:rsid w:val="006E1D85"/>
    <w:rsid w:val="006E4896"/>
    <w:rsid w:val="006E4D33"/>
    <w:rsid w:val="006E54BE"/>
    <w:rsid w:val="006E5BAF"/>
    <w:rsid w:val="006E72F6"/>
    <w:rsid w:val="006F02FA"/>
    <w:rsid w:val="006F0B5E"/>
    <w:rsid w:val="006F32AD"/>
    <w:rsid w:val="006F3B88"/>
    <w:rsid w:val="006F41D1"/>
    <w:rsid w:val="006F7BB6"/>
    <w:rsid w:val="00701E92"/>
    <w:rsid w:val="00702133"/>
    <w:rsid w:val="00702DB3"/>
    <w:rsid w:val="0070321D"/>
    <w:rsid w:val="00703B2A"/>
    <w:rsid w:val="00703C11"/>
    <w:rsid w:val="00707819"/>
    <w:rsid w:val="007102E6"/>
    <w:rsid w:val="00710E9B"/>
    <w:rsid w:val="00711DF1"/>
    <w:rsid w:val="00711F81"/>
    <w:rsid w:val="00712F75"/>
    <w:rsid w:val="00713956"/>
    <w:rsid w:val="00713FCF"/>
    <w:rsid w:val="007155BB"/>
    <w:rsid w:val="0071605B"/>
    <w:rsid w:val="007163D5"/>
    <w:rsid w:val="00717EA4"/>
    <w:rsid w:val="00722C2C"/>
    <w:rsid w:val="007239CD"/>
    <w:rsid w:val="00725029"/>
    <w:rsid w:val="00726A27"/>
    <w:rsid w:val="00726FBB"/>
    <w:rsid w:val="00730D17"/>
    <w:rsid w:val="007313BB"/>
    <w:rsid w:val="00731F48"/>
    <w:rsid w:val="00733167"/>
    <w:rsid w:val="007336F2"/>
    <w:rsid w:val="00733D0B"/>
    <w:rsid w:val="00733E32"/>
    <w:rsid w:val="00734892"/>
    <w:rsid w:val="00735797"/>
    <w:rsid w:val="00736546"/>
    <w:rsid w:val="007370BF"/>
    <w:rsid w:val="007371CE"/>
    <w:rsid w:val="00737B81"/>
    <w:rsid w:val="007411D2"/>
    <w:rsid w:val="00741539"/>
    <w:rsid w:val="007416FA"/>
    <w:rsid w:val="00741B2F"/>
    <w:rsid w:val="00742A35"/>
    <w:rsid w:val="007441F1"/>
    <w:rsid w:val="00746849"/>
    <w:rsid w:val="00746EC6"/>
    <w:rsid w:val="00747369"/>
    <w:rsid w:val="00750953"/>
    <w:rsid w:val="00750A80"/>
    <w:rsid w:val="00752726"/>
    <w:rsid w:val="00752F93"/>
    <w:rsid w:val="007540C0"/>
    <w:rsid w:val="007542ED"/>
    <w:rsid w:val="00754C9D"/>
    <w:rsid w:val="00756399"/>
    <w:rsid w:val="00756442"/>
    <w:rsid w:val="007576B2"/>
    <w:rsid w:val="00762A16"/>
    <w:rsid w:val="00764180"/>
    <w:rsid w:val="00765580"/>
    <w:rsid w:val="0077047A"/>
    <w:rsid w:val="007711A0"/>
    <w:rsid w:val="0077257E"/>
    <w:rsid w:val="007727BA"/>
    <w:rsid w:val="007750E1"/>
    <w:rsid w:val="00775704"/>
    <w:rsid w:val="0077739B"/>
    <w:rsid w:val="00777514"/>
    <w:rsid w:val="007823C9"/>
    <w:rsid w:val="007846D1"/>
    <w:rsid w:val="00785463"/>
    <w:rsid w:val="007868D9"/>
    <w:rsid w:val="0078729E"/>
    <w:rsid w:val="00787699"/>
    <w:rsid w:val="00787765"/>
    <w:rsid w:val="00787C30"/>
    <w:rsid w:val="00793033"/>
    <w:rsid w:val="00794A11"/>
    <w:rsid w:val="007956DC"/>
    <w:rsid w:val="0079674C"/>
    <w:rsid w:val="007970A8"/>
    <w:rsid w:val="00797CDE"/>
    <w:rsid w:val="007A06E3"/>
    <w:rsid w:val="007A0B7C"/>
    <w:rsid w:val="007A42F1"/>
    <w:rsid w:val="007A4D00"/>
    <w:rsid w:val="007A520B"/>
    <w:rsid w:val="007A743A"/>
    <w:rsid w:val="007A78F6"/>
    <w:rsid w:val="007B120F"/>
    <w:rsid w:val="007B17D1"/>
    <w:rsid w:val="007B3A46"/>
    <w:rsid w:val="007B3BE2"/>
    <w:rsid w:val="007B727B"/>
    <w:rsid w:val="007C04DB"/>
    <w:rsid w:val="007C16AC"/>
    <w:rsid w:val="007C1F2C"/>
    <w:rsid w:val="007C1FA6"/>
    <w:rsid w:val="007C36FF"/>
    <w:rsid w:val="007C429B"/>
    <w:rsid w:val="007C52BA"/>
    <w:rsid w:val="007C54D2"/>
    <w:rsid w:val="007D0197"/>
    <w:rsid w:val="007D0E33"/>
    <w:rsid w:val="007D16D9"/>
    <w:rsid w:val="007D18D2"/>
    <w:rsid w:val="007D191D"/>
    <w:rsid w:val="007D2611"/>
    <w:rsid w:val="007D2C26"/>
    <w:rsid w:val="007D335E"/>
    <w:rsid w:val="007D40FE"/>
    <w:rsid w:val="007D4686"/>
    <w:rsid w:val="007D651A"/>
    <w:rsid w:val="007D68EE"/>
    <w:rsid w:val="007D6A37"/>
    <w:rsid w:val="007E0A9C"/>
    <w:rsid w:val="007E102F"/>
    <w:rsid w:val="007E34CD"/>
    <w:rsid w:val="007E4077"/>
    <w:rsid w:val="007E4A39"/>
    <w:rsid w:val="007E4D13"/>
    <w:rsid w:val="007E61DB"/>
    <w:rsid w:val="007E71C3"/>
    <w:rsid w:val="007E7711"/>
    <w:rsid w:val="007F0F13"/>
    <w:rsid w:val="007F0FA6"/>
    <w:rsid w:val="007F1152"/>
    <w:rsid w:val="007F2AFC"/>
    <w:rsid w:val="007F2CA2"/>
    <w:rsid w:val="007F314A"/>
    <w:rsid w:val="007F45A2"/>
    <w:rsid w:val="007F4984"/>
    <w:rsid w:val="007F6543"/>
    <w:rsid w:val="007F69EA"/>
    <w:rsid w:val="007F75AE"/>
    <w:rsid w:val="007F769A"/>
    <w:rsid w:val="007F7FAD"/>
    <w:rsid w:val="00800A1A"/>
    <w:rsid w:val="00802259"/>
    <w:rsid w:val="008024A0"/>
    <w:rsid w:val="00802BFB"/>
    <w:rsid w:val="008038FA"/>
    <w:rsid w:val="008054E5"/>
    <w:rsid w:val="008063C1"/>
    <w:rsid w:val="008064EC"/>
    <w:rsid w:val="008072BB"/>
    <w:rsid w:val="00812644"/>
    <w:rsid w:val="00812AA5"/>
    <w:rsid w:val="008132D2"/>
    <w:rsid w:val="00813E0E"/>
    <w:rsid w:val="00814711"/>
    <w:rsid w:val="0081621F"/>
    <w:rsid w:val="0081737C"/>
    <w:rsid w:val="0082001D"/>
    <w:rsid w:val="00823456"/>
    <w:rsid w:val="00823832"/>
    <w:rsid w:val="00823956"/>
    <w:rsid w:val="00823FF6"/>
    <w:rsid w:val="00824E54"/>
    <w:rsid w:val="00830443"/>
    <w:rsid w:val="0083204C"/>
    <w:rsid w:val="00832D55"/>
    <w:rsid w:val="00835B04"/>
    <w:rsid w:val="00835E00"/>
    <w:rsid w:val="00835FE6"/>
    <w:rsid w:val="0084023F"/>
    <w:rsid w:val="008409D3"/>
    <w:rsid w:val="00840C87"/>
    <w:rsid w:val="008413C5"/>
    <w:rsid w:val="00841628"/>
    <w:rsid w:val="008416FC"/>
    <w:rsid w:val="00841F39"/>
    <w:rsid w:val="008429A8"/>
    <w:rsid w:val="00844D1A"/>
    <w:rsid w:val="00845101"/>
    <w:rsid w:val="0084607F"/>
    <w:rsid w:val="008464E9"/>
    <w:rsid w:val="008510F5"/>
    <w:rsid w:val="00851984"/>
    <w:rsid w:val="00851A97"/>
    <w:rsid w:val="00851B40"/>
    <w:rsid w:val="0085562B"/>
    <w:rsid w:val="00855FED"/>
    <w:rsid w:val="00856B19"/>
    <w:rsid w:val="00856B9A"/>
    <w:rsid w:val="0085713F"/>
    <w:rsid w:val="00857A62"/>
    <w:rsid w:val="00860AB4"/>
    <w:rsid w:val="00860FEF"/>
    <w:rsid w:val="00861481"/>
    <w:rsid w:val="00862C1C"/>
    <w:rsid w:val="00862ED4"/>
    <w:rsid w:val="00863406"/>
    <w:rsid w:val="008653AD"/>
    <w:rsid w:val="0086541F"/>
    <w:rsid w:val="00866D4C"/>
    <w:rsid w:val="00867176"/>
    <w:rsid w:val="00867C52"/>
    <w:rsid w:val="00870881"/>
    <w:rsid w:val="00870E21"/>
    <w:rsid w:val="00871F5A"/>
    <w:rsid w:val="00872604"/>
    <w:rsid w:val="00872908"/>
    <w:rsid w:val="008739C2"/>
    <w:rsid w:val="00873B0E"/>
    <w:rsid w:val="0087409A"/>
    <w:rsid w:val="00874D01"/>
    <w:rsid w:val="00875374"/>
    <w:rsid w:val="00881B3C"/>
    <w:rsid w:val="008821B5"/>
    <w:rsid w:val="00882618"/>
    <w:rsid w:val="00885F4D"/>
    <w:rsid w:val="0088615B"/>
    <w:rsid w:val="00886619"/>
    <w:rsid w:val="00886A42"/>
    <w:rsid w:val="00886F26"/>
    <w:rsid w:val="00887FDE"/>
    <w:rsid w:val="0089052E"/>
    <w:rsid w:val="00890739"/>
    <w:rsid w:val="00890CBA"/>
    <w:rsid w:val="00891086"/>
    <w:rsid w:val="008910EE"/>
    <w:rsid w:val="0089153C"/>
    <w:rsid w:val="008918E9"/>
    <w:rsid w:val="00893FB3"/>
    <w:rsid w:val="00894246"/>
    <w:rsid w:val="00894275"/>
    <w:rsid w:val="00894CF6"/>
    <w:rsid w:val="00895989"/>
    <w:rsid w:val="00895EC9"/>
    <w:rsid w:val="008A3912"/>
    <w:rsid w:val="008A3BFF"/>
    <w:rsid w:val="008A4931"/>
    <w:rsid w:val="008A5659"/>
    <w:rsid w:val="008A6649"/>
    <w:rsid w:val="008A7C7C"/>
    <w:rsid w:val="008B20EF"/>
    <w:rsid w:val="008B50AB"/>
    <w:rsid w:val="008B5949"/>
    <w:rsid w:val="008B689F"/>
    <w:rsid w:val="008B732F"/>
    <w:rsid w:val="008B74BF"/>
    <w:rsid w:val="008B7781"/>
    <w:rsid w:val="008C02FA"/>
    <w:rsid w:val="008C0D0F"/>
    <w:rsid w:val="008C1859"/>
    <w:rsid w:val="008C2461"/>
    <w:rsid w:val="008C328D"/>
    <w:rsid w:val="008C496B"/>
    <w:rsid w:val="008C501C"/>
    <w:rsid w:val="008C62DD"/>
    <w:rsid w:val="008C70FF"/>
    <w:rsid w:val="008D1DB1"/>
    <w:rsid w:val="008D23EF"/>
    <w:rsid w:val="008D26B0"/>
    <w:rsid w:val="008D36B7"/>
    <w:rsid w:val="008D39FB"/>
    <w:rsid w:val="008D3C51"/>
    <w:rsid w:val="008D5959"/>
    <w:rsid w:val="008D6C5F"/>
    <w:rsid w:val="008D72AC"/>
    <w:rsid w:val="008D7E34"/>
    <w:rsid w:val="008E3AD1"/>
    <w:rsid w:val="008E4E7A"/>
    <w:rsid w:val="008E7385"/>
    <w:rsid w:val="008F1A23"/>
    <w:rsid w:val="008F1E6D"/>
    <w:rsid w:val="008F2D24"/>
    <w:rsid w:val="008F4A4B"/>
    <w:rsid w:val="008F4DD2"/>
    <w:rsid w:val="008F5EA2"/>
    <w:rsid w:val="008F6CD9"/>
    <w:rsid w:val="00901C60"/>
    <w:rsid w:val="00901E19"/>
    <w:rsid w:val="009045C8"/>
    <w:rsid w:val="00904AF9"/>
    <w:rsid w:val="009054D8"/>
    <w:rsid w:val="0090625B"/>
    <w:rsid w:val="00907C4E"/>
    <w:rsid w:val="00907C8F"/>
    <w:rsid w:val="0091024C"/>
    <w:rsid w:val="00910BDD"/>
    <w:rsid w:val="00911574"/>
    <w:rsid w:val="00911910"/>
    <w:rsid w:val="00911FBD"/>
    <w:rsid w:val="00912052"/>
    <w:rsid w:val="009144A3"/>
    <w:rsid w:val="00915477"/>
    <w:rsid w:val="00915DE1"/>
    <w:rsid w:val="0091680F"/>
    <w:rsid w:val="00917EB5"/>
    <w:rsid w:val="00917F6A"/>
    <w:rsid w:val="00920398"/>
    <w:rsid w:val="00920969"/>
    <w:rsid w:val="009215C2"/>
    <w:rsid w:val="009222DE"/>
    <w:rsid w:val="0092281E"/>
    <w:rsid w:val="00922F51"/>
    <w:rsid w:val="00923F2A"/>
    <w:rsid w:val="00924F60"/>
    <w:rsid w:val="009274F7"/>
    <w:rsid w:val="00931C7B"/>
    <w:rsid w:val="009321FD"/>
    <w:rsid w:val="009342A0"/>
    <w:rsid w:val="0093450E"/>
    <w:rsid w:val="009347AC"/>
    <w:rsid w:val="00935C10"/>
    <w:rsid w:val="00942546"/>
    <w:rsid w:val="00943E3C"/>
    <w:rsid w:val="0094464A"/>
    <w:rsid w:val="009446CB"/>
    <w:rsid w:val="00945710"/>
    <w:rsid w:val="00945967"/>
    <w:rsid w:val="00946FBA"/>
    <w:rsid w:val="00951352"/>
    <w:rsid w:val="00951564"/>
    <w:rsid w:val="00953ACB"/>
    <w:rsid w:val="00953D6A"/>
    <w:rsid w:val="00953F0E"/>
    <w:rsid w:val="00954ACB"/>
    <w:rsid w:val="00955CA3"/>
    <w:rsid w:val="00956C39"/>
    <w:rsid w:val="00957ADB"/>
    <w:rsid w:val="00957F01"/>
    <w:rsid w:val="00960DD7"/>
    <w:rsid w:val="00960E1D"/>
    <w:rsid w:val="00962409"/>
    <w:rsid w:val="0096319C"/>
    <w:rsid w:val="0096320A"/>
    <w:rsid w:val="00963BBF"/>
    <w:rsid w:val="0096489F"/>
    <w:rsid w:val="00964A2E"/>
    <w:rsid w:val="00964AF0"/>
    <w:rsid w:val="00965E96"/>
    <w:rsid w:val="00966779"/>
    <w:rsid w:val="009700A9"/>
    <w:rsid w:val="009711C7"/>
    <w:rsid w:val="00971F9F"/>
    <w:rsid w:val="009732DB"/>
    <w:rsid w:val="00974091"/>
    <w:rsid w:val="00974285"/>
    <w:rsid w:val="0097549B"/>
    <w:rsid w:val="00975AD8"/>
    <w:rsid w:val="00975CDA"/>
    <w:rsid w:val="00975DF3"/>
    <w:rsid w:val="00976104"/>
    <w:rsid w:val="00976ACA"/>
    <w:rsid w:val="009801C6"/>
    <w:rsid w:val="00980411"/>
    <w:rsid w:val="00981273"/>
    <w:rsid w:val="00981CE2"/>
    <w:rsid w:val="00985B05"/>
    <w:rsid w:val="00985DBA"/>
    <w:rsid w:val="00986A2F"/>
    <w:rsid w:val="009876E7"/>
    <w:rsid w:val="0098789F"/>
    <w:rsid w:val="009878EA"/>
    <w:rsid w:val="00987AB7"/>
    <w:rsid w:val="009906A4"/>
    <w:rsid w:val="00991AB8"/>
    <w:rsid w:val="0099304F"/>
    <w:rsid w:val="00993E77"/>
    <w:rsid w:val="009953A4"/>
    <w:rsid w:val="009954BA"/>
    <w:rsid w:val="00995BC4"/>
    <w:rsid w:val="00996192"/>
    <w:rsid w:val="009A0244"/>
    <w:rsid w:val="009A0C86"/>
    <w:rsid w:val="009A228D"/>
    <w:rsid w:val="009A3C79"/>
    <w:rsid w:val="009A3C9C"/>
    <w:rsid w:val="009A5205"/>
    <w:rsid w:val="009A53F2"/>
    <w:rsid w:val="009A5A8F"/>
    <w:rsid w:val="009A7622"/>
    <w:rsid w:val="009B0872"/>
    <w:rsid w:val="009B116E"/>
    <w:rsid w:val="009B2528"/>
    <w:rsid w:val="009B3BAC"/>
    <w:rsid w:val="009B3C20"/>
    <w:rsid w:val="009B549C"/>
    <w:rsid w:val="009B6B4D"/>
    <w:rsid w:val="009C0A88"/>
    <w:rsid w:val="009C118D"/>
    <w:rsid w:val="009C25E4"/>
    <w:rsid w:val="009C59D4"/>
    <w:rsid w:val="009C669D"/>
    <w:rsid w:val="009C76EC"/>
    <w:rsid w:val="009C7BA6"/>
    <w:rsid w:val="009D2253"/>
    <w:rsid w:val="009D2384"/>
    <w:rsid w:val="009D2899"/>
    <w:rsid w:val="009D3076"/>
    <w:rsid w:val="009D4BAB"/>
    <w:rsid w:val="009D4BF8"/>
    <w:rsid w:val="009D6495"/>
    <w:rsid w:val="009D7F93"/>
    <w:rsid w:val="009E0EC9"/>
    <w:rsid w:val="009E330C"/>
    <w:rsid w:val="009E3399"/>
    <w:rsid w:val="009E4591"/>
    <w:rsid w:val="009E481E"/>
    <w:rsid w:val="009E4B99"/>
    <w:rsid w:val="009E67C4"/>
    <w:rsid w:val="009E6B1D"/>
    <w:rsid w:val="009E6BF3"/>
    <w:rsid w:val="009F0065"/>
    <w:rsid w:val="009F1219"/>
    <w:rsid w:val="009F1F5D"/>
    <w:rsid w:val="009F2E0F"/>
    <w:rsid w:val="009F2EAD"/>
    <w:rsid w:val="009F593B"/>
    <w:rsid w:val="009F5FCE"/>
    <w:rsid w:val="009F78E1"/>
    <w:rsid w:val="009F7E69"/>
    <w:rsid w:val="009F7FE4"/>
    <w:rsid w:val="00A004B3"/>
    <w:rsid w:val="00A006E7"/>
    <w:rsid w:val="00A00EB4"/>
    <w:rsid w:val="00A03280"/>
    <w:rsid w:val="00A04CDB"/>
    <w:rsid w:val="00A073E8"/>
    <w:rsid w:val="00A12DE4"/>
    <w:rsid w:val="00A13477"/>
    <w:rsid w:val="00A15845"/>
    <w:rsid w:val="00A16870"/>
    <w:rsid w:val="00A176B4"/>
    <w:rsid w:val="00A20565"/>
    <w:rsid w:val="00A20BB6"/>
    <w:rsid w:val="00A22A95"/>
    <w:rsid w:val="00A23ECC"/>
    <w:rsid w:val="00A25BE6"/>
    <w:rsid w:val="00A26C4C"/>
    <w:rsid w:val="00A308FA"/>
    <w:rsid w:val="00A3153C"/>
    <w:rsid w:val="00A320C5"/>
    <w:rsid w:val="00A32FB1"/>
    <w:rsid w:val="00A3727C"/>
    <w:rsid w:val="00A4511C"/>
    <w:rsid w:val="00A455DD"/>
    <w:rsid w:val="00A458FA"/>
    <w:rsid w:val="00A462DA"/>
    <w:rsid w:val="00A501A7"/>
    <w:rsid w:val="00A5020B"/>
    <w:rsid w:val="00A50CD9"/>
    <w:rsid w:val="00A51710"/>
    <w:rsid w:val="00A52701"/>
    <w:rsid w:val="00A56C5D"/>
    <w:rsid w:val="00A5776A"/>
    <w:rsid w:val="00A57C3E"/>
    <w:rsid w:val="00A6098A"/>
    <w:rsid w:val="00A60B8E"/>
    <w:rsid w:val="00A613F1"/>
    <w:rsid w:val="00A618F8"/>
    <w:rsid w:val="00A6548D"/>
    <w:rsid w:val="00A67061"/>
    <w:rsid w:val="00A7187C"/>
    <w:rsid w:val="00A71DDC"/>
    <w:rsid w:val="00A76008"/>
    <w:rsid w:val="00A76C05"/>
    <w:rsid w:val="00A823D7"/>
    <w:rsid w:val="00A836E7"/>
    <w:rsid w:val="00A83B0A"/>
    <w:rsid w:val="00A84104"/>
    <w:rsid w:val="00A841D1"/>
    <w:rsid w:val="00A84D64"/>
    <w:rsid w:val="00A858B5"/>
    <w:rsid w:val="00A85F29"/>
    <w:rsid w:val="00A9158D"/>
    <w:rsid w:val="00A91A2B"/>
    <w:rsid w:val="00A92B38"/>
    <w:rsid w:val="00A93A66"/>
    <w:rsid w:val="00A94C4B"/>
    <w:rsid w:val="00A9686B"/>
    <w:rsid w:val="00AA0B40"/>
    <w:rsid w:val="00AA29FA"/>
    <w:rsid w:val="00AA36D8"/>
    <w:rsid w:val="00AA4912"/>
    <w:rsid w:val="00AA52CC"/>
    <w:rsid w:val="00AA6AA0"/>
    <w:rsid w:val="00AB0241"/>
    <w:rsid w:val="00AB280B"/>
    <w:rsid w:val="00AB392D"/>
    <w:rsid w:val="00AB42D8"/>
    <w:rsid w:val="00AB49EA"/>
    <w:rsid w:val="00AB65EA"/>
    <w:rsid w:val="00AB70F1"/>
    <w:rsid w:val="00AC046A"/>
    <w:rsid w:val="00AC2508"/>
    <w:rsid w:val="00AC2781"/>
    <w:rsid w:val="00AC3503"/>
    <w:rsid w:val="00AC494F"/>
    <w:rsid w:val="00AD081E"/>
    <w:rsid w:val="00AD0921"/>
    <w:rsid w:val="00AD23FB"/>
    <w:rsid w:val="00AD4D5C"/>
    <w:rsid w:val="00AD5261"/>
    <w:rsid w:val="00AD5E55"/>
    <w:rsid w:val="00AD67D3"/>
    <w:rsid w:val="00AE5C64"/>
    <w:rsid w:val="00AE6380"/>
    <w:rsid w:val="00AE69A5"/>
    <w:rsid w:val="00AE6E6F"/>
    <w:rsid w:val="00AE72B7"/>
    <w:rsid w:val="00AF0B67"/>
    <w:rsid w:val="00AF1B7F"/>
    <w:rsid w:val="00AF4A75"/>
    <w:rsid w:val="00AF6507"/>
    <w:rsid w:val="00B00848"/>
    <w:rsid w:val="00B01A9B"/>
    <w:rsid w:val="00B02650"/>
    <w:rsid w:val="00B02B96"/>
    <w:rsid w:val="00B03160"/>
    <w:rsid w:val="00B05B00"/>
    <w:rsid w:val="00B05D11"/>
    <w:rsid w:val="00B060FD"/>
    <w:rsid w:val="00B06198"/>
    <w:rsid w:val="00B07311"/>
    <w:rsid w:val="00B074FE"/>
    <w:rsid w:val="00B1034B"/>
    <w:rsid w:val="00B124C9"/>
    <w:rsid w:val="00B1308C"/>
    <w:rsid w:val="00B13ECE"/>
    <w:rsid w:val="00B14D89"/>
    <w:rsid w:val="00B16C85"/>
    <w:rsid w:val="00B1756E"/>
    <w:rsid w:val="00B2217B"/>
    <w:rsid w:val="00B226D1"/>
    <w:rsid w:val="00B23A96"/>
    <w:rsid w:val="00B23F44"/>
    <w:rsid w:val="00B24077"/>
    <w:rsid w:val="00B24E02"/>
    <w:rsid w:val="00B26B18"/>
    <w:rsid w:val="00B2714A"/>
    <w:rsid w:val="00B27674"/>
    <w:rsid w:val="00B30C0F"/>
    <w:rsid w:val="00B32F74"/>
    <w:rsid w:val="00B333AA"/>
    <w:rsid w:val="00B35DA0"/>
    <w:rsid w:val="00B3621D"/>
    <w:rsid w:val="00B4081F"/>
    <w:rsid w:val="00B40FE0"/>
    <w:rsid w:val="00B418B0"/>
    <w:rsid w:val="00B429B8"/>
    <w:rsid w:val="00B444E3"/>
    <w:rsid w:val="00B45F50"/>
    <w:rsid w:val="00B51028"/>
    <w:rsid w:val="00B53354"/>
    <w:rsid w:val="00B53AB8"/>
    <w:rsid w:val="00B55744"/>
    <w:rsid w:val="00B574DF"/>
    <w:rsid w:val="00B601D8"/>
    <w:rsid w:val="00B62D1D"/>
    <w:rsid w:val="00B62F8F"/>
    <w:rsid w:val="00B631E2"/>
    <w:rsid w:val="00B66356"/>
    <w:rsid w:val="00B70CB4"/>
    <w:rsid w:val="00B70CE8"/>
    <w:rsid w:val="00B71041"/>
    <w:rsid w:val="00B7202C"/>
    <w:rsid w:val="00B73C0C"/>
    <w:rsid w:val="00B73FD6"/>
    <w:rsid w:val="00B75B7F"/>
    <w:rsid w:val="00B765B0"/>
    <w:rsid w:val="00B766A5"/>
    <w:rsid w:val="00B769F0"/>
    <w:rsid w:val="00B77CDC"/>
    <w:rsid w:val="00B77CF4"/>
    <w:rsid w:val="00B77E8D"/>
    <w:rsid w:val="00B81512"/>
    <w:rsid w:val="00B8182B"/>
    <w:rsid w:val="00B8240D"/>
    <w:rsid w:val="00B82A14"/>
    <w:rsid w:val="00B83C34"/>
    <w:rsid w:val="00B83C67"/>
    <w:rsid w:val="00B841D1"/>
    <w:rsid w:val="00B84C0A"/>
    <w:rsid w:val="00B85337"/>
    <w:rsid w:val="00B85EED"/>
    <w:rsid w:val="00B900DA"/>
    <w:rsid w:val="00B909FA"/>
    <w:rsid w:val="00B925BD"/>
    <w:rsid w:val="00B92C40"/>
    <w:rsid w:val="00B93D78"/>
    <w:rsid w:val="00B95C1A"/>
    <w:rsid w:val="00B95F81"/>
    <w:rsid w:val="00B97C35"/>
    <w:rsid w:val="00BA14DF"/>
    <w:rsid w:val="00BA19E3"/>
    <w:rsid w:val="00BA2605"/>
    <w:rsid w:val="00BA27A5"/>
    <w:rsid w:val="00BA3422"/>
    <w:rsid w:val="00BA454E"/>
    <w:rsid w:val="00BA5626"/>
    <w:rsid w:val="00BA780F"/>
    <w:rsid w:val="00BB1E99"/>
    <w:rsid w:val="00BB2C19"/>
    <w:rsid w:val="00BB2DEC"/>
    <w:rsid w:val="00BB393F"/>
    <w:rsid w:val="00BB3C21"/>
    <w:rsid w:val="00BB4832"/>
    <w:rsid w:val="00BB4DA6"/>
    <w:rsid w:val="00BB509B"/>
    <w:rsid w:val="00BB655F"/>
    <w:rsid w:val="00BB6B57"/>
    <w:rsid w:val="00BC06DE"/>
    <w:rsid w:val="00BC1615"/>
    <w:rsid w:val="00BC1A3A"/>
    <w:rsid w:val="00BC1DB6"/>
    <w:rsid w:val="00BC27D1"/>
    <w:rsid w:val="00BC38B3"/>
    <w:rsid w:val="00BC3C30"/>
    <w:rsid w:val="00BC500A"/>
    <w:rsid w:val="00BC5726"/>
    <w:rsid w:val="00BC6382"/>
    <w:rsid w:val="00BC6C05"/>
    <w:rsid w:val="00BC734B"/>
    <w:rsid w:val="00BC7A8D"/>
    <w:rsid w:val="00BD031B"/>
    <w:rsid w:val="00BD1AD8"/>
    <w:rsid w:val="00BD3202"/>
    <w:rsid w:val="00BD4383"/>
    <w:rsid w:val="00BD4DFD"/>
    <w:rsid w:val="00BD7E9A"/>
    <w:rsid w:val="00BE0A1D"/>
    <w:rsid w:val="00BE10F8"/>
    <w:rsid w:val="00BE1268"/>
    <w:rsid w:val="00BE1A10"/>
    <w:rsid w:val="00BE2D92"/>
    <w:rsid w:val="00BE3229"/>
    <w:rsid w:val="00BE5587"/>
    <w:rsid w:val="00BE7062"/>
    <w:rsid w:val="00BF1D75"/>
    <w:rsid w:val="00BF2266"/>
    <w:rsid w:val="00BF276C"/>
    <w:rsid w:val="00BF48AA"/>
    <w:rsid w:val="00BF4C6D"/>
    <w:rsid w:val="00BF557B"/>
    <w:rsid w:val="00BF5F5F"/>
    <w:rsid w:val="00BF690D"/>
    <w:rsid w:val="00BF75A0"/>
    <w:rsid w:val="00C00B83"/>
    <w:rsid w:val="00C01C6F"/>
    <w:rsid w:val="00C0261B"/>
    <w:rsid w:val="00C032CC"/>
    <w:rsid w:val="00C03BB2"/>
    <w:rsid w:val="00C0455C"/>
    <w:rsid w:val="00C04669"/>
    <w:rsid w:val="00C04C44"/>
    <w:rsid w:val="00C05ADE"/>
    <w:rsid w:val="00C05B71"/>
    <w:rsid w:val="00C1197D"/>
    <w:rsid w:val="00C11B4D"/>
    <w:rsid w:val="00C11E49"/>
    <w:rsid w:val="00C126ED"/>
    <w:rsid w:val="00C13276"/>
    <w:rsid w:val="00C24BE4"/>
    <w:rsid w:val="00C253C2"/>
    <w:rsid w:val="00C259A9"/>
    <w:rsid w:val="00C25B92"/>
    <w:rsid w:val="00C26261"/>
    <w:rsid w:val="00C317DF"/>
    <w:rsid w:val="00C343B0"/>
    <w:rsid w:val="00C344F0"/>
    <w:rsid w:val="00C34F04"/>
    <w:rsid w:val="00C35F20"/>
    <w:rsid w:val="00C400E1"/>
    <w:rsid w:val="00C4039C"/>
    <w:rsid w:val="00C40852"/>
    <w:rsid w:val="00C4392E"/>
    <w:rsid w:val="00C43D0B"/>
    <w:rsid w:val="00C44C60"/>
    <w:rsid w:val="00C452CD"/>
    <w:rsid w:val="00C47BFD"/>
    <w:rsid w:val="00C51AC1"/>
    <w:rsid w:val="00C51E4A"/>
    <w:rsid w:val="00C52A04"/>
    <w:rsid w:val="00C52D23"/>
    <w:rsid w:val="00C5419D"/>
    <w:rsid w:val="00C55662"/>
    <w:rsid w:val="00C55ECA"/>
    <w:rsid w:val="00C62161"/>
    <w:rsid w:val="00C6289F"/>
    <w:rsid w:val="00C646F2"/>
    <w:rsid w:val="00C66DD1"/>
    <w:rsid w:val="00C7008B"/>
    <w:rsid w:val="00C70D5E"/>
    <w:rsid w:val="00C72393"/>
    <w:rsid w:val="00C72553"/>
    <w:rsid w:val="00C762D4"/>
    <w:rsid w:val="00C80F2F"/>
    <w:rsid w:val="00C84837"/>
    <w:rsid w:val="00C85B3C"/>
    <w:rsid w:val="00C86728"/>
    <w:rsid w:val="00C870D3"/>
    <w:rsid w:val="00C87847"/>
    <w:rsid w:val="00C87FA6"/>
    <w:rsid w:val="00C90FCE"/>
    <w:rsid w:val="00C91E56"/>
    <w:rsid w:val="00C944C1"/>
    <w:rsid w:val="00C951D1"/>
    <w:rsid w:val="00C96720"/>
    <w:rsid w:val="00CA1776"/>
    <w:rsid w:val="00CA1B4C"/>
    <w:rsid w:val="00CA3FA1"/>
    <w:rsid w:val="00CA421D"/>
    <w:rsid w:val="00CA485A"/>
    <w:rsid w:val="00CA5107"/>
    <w:rsid w:val="00CA5120"/>
    <w:rsid w:val="00CA517C"/>
    <w:rsid w:val="00CB0BE9"/>
    <w:rsid w:val="00CB1282"/>
    <w:rsid w:val="00CB26BC"/>
    <w:rsid w:val="00CB3075"/>
    <w:rsid w:val="00CB3574"/>
    <w:rsid w:val="00CB489C"/>
    <w:rsid w:val="00CB69A5"/>
    <w:rsid w:val="00CB6D8A"/>
    <w:rsid w:val="00CB6FEC"/>
    <w:rsid w:val="00CC0730"/>
    <w:rsid w:val="00CC11C7"/>
    <w:rsid w:val="00CC1253"/>
    <w:rsid w:val="00CC4656"/>
    <w:rsid w:val="00CC5131"/>
    <w:rsid w:val="00CC5531"/>
    <w:rsid w:val="00CC6149"/>
    <w:rsid w:val="00CD018F"/>
    <w:rsid w:val="00CD4E78"/>
    <w:rsid w:val="00CD647D"/>
    <w:rsid w:val="00CD656F"/>
    <w:rsid w:val="00CD6BC0"/>
    <w:rsid w:val="00CD7F8F"/>
    <w:rsid w:val="00CE06AA"/>
    <w:rsid w:val="00CE1A49"/>
    <w:rsid w:val="00CE2F98"/>
    <w:rsid w:val="00CE4822"/>
    <w:rsid w:val="00CE5B49"/>
    <w:rsid w:val="00CF1B8B"/>
    <w:rsid w:val="00CF1DA2"/>
    <w:rsid w:val="00CF280D"/>
    <w:rsid w:val="00CF2D05"/>
    <w:rsid w:val="00CF31E3"/>
    <w:rsid w:val="00CF5B6A"/>
    <w:rsid w:val="00CF6F8E"/>
    <w:rsid w:val="00D00D65"/>
    <w:rsid w:val="00D03C39"/>
    <w:rsid w:val="00D0460F"/>
    <w:rsid w:val="00D05082"/>
    <w:rsid w:val="00D0545B"/>
    <w:rsid w:val="00D0586A"/>
    <w:rsid w:val="00D06B47"/>
    <w:rsid w:val="00D06C82"/>
    <w:rsid w:val="00D07173"/>
    <w:rsid w:val="00D1416F"/>
    <w:rsid w:val="00D15389"/>
    <w:rsid w:val="00D1788F"/>
    <w:rsid w:val="00D20869"/>
    <w:rsid w:val="00D23D5F"/>
    <w:rsid w:val="00D24528"/>
    <w:rsid w:val="00D246FD"/>
    <w:rsid w:val="00D2661A"/>
    <w:rsid w:val="00D26C02"/>
    <w:rsid w:val="00D27CA5"/>
    <w:rsid w:val="00D32BF4"/>
    <w:rsid w:val="00D3379E"/>
    <w:rsid w:val="00D34FFB"/>
    <w:rsid w:val="00D35342"/>
    <w:rsid w:val="00D36D27"/>
    <w:rsid w:val="00D37A8A"/>
    <w:rsid w:val="00D37E7E"/>
    <w:rsid w:val="00D41593"/>
    <w:rsid w:val="00D42041"/>
    <w:rsid w:val="00D43093"/>
    <w:rsid w:val="00D441AF"/>
    <w:rsid w:val="00D450C8"/>
    <w:rsid w:val="00D454DC"/>
    <w:rsid w:val="00D464DD"/>
    <w:rsid w:val="00D46EEC"/>
    <w:rsid w:val="00D50DCA"/>
    <w:rsid w:val="00D51DB2"/>
    <w:rsid w:val="00D5390C"/>
    <w:rsid w:val="00D550E7"/>
    <w:rsid w:val="00D55134"/>
    <w:rsid w:val="00D56034"/>
    <w:rsid w:val="00D565DC"/>
    <w:rsid w:val="00D56F42"/>
    <w:rsid w:val="00D570AF"/>
    <w:rsid w:val="00D570FA"/>
    <w:rsid w:val="00D61226"/>
    <w:rsid w:val="00D616AD"/>
    <w:rsid w:val="00D6198F"/>
    <w:rsid w:val="00D61B7F"/>
    <w:rsid w:val="00D62029"/>
    <w:rsid w:val="00D63855"/>
    <w:rsid w:val="00D64A92"/>
    <w:rsid w:val="00D6760C"/>
    <w:rsid w:val="00D67BBA"/>
    <w:rsid w:val="00D67EDB"/>
    <w:rsid w:val="00D71FAC"/>
    <w:rsid w:val="00D72CB8"/>
    <w:rsid w:val="00D738C2"/>
    <w:rsid w:val="00D74722"/>
    <w:rsid w:val="00D76104"/>
    <w:rsid w:val="00D76597"/>
    <w:rsid w:val="00D76BCB"/>
    <w:rsid w:val="00D76D9F"/>
    <w:rsid w:val="00D83E06"/>
    <w:rsid w:val="00D84728"/>
    <w:rsid w:val="00D84931"/>
    <w:rsid w:val="00D84F4D"/>
    <w:rsid w:val="00D85386"/>
    <w:rsid w:val="00D85D28"/>
    <w:rsid w:val="00D86BFC"/>
    <w:rsid w:val="00D87C7C"/>
    <w:rsid w:val="00D90160"/>
    <w:rsid w:val="00D92A0A"/>
    <w:rsid w:val="00D92DFB"/>
    <w:rsid w:val="00D93163"/>
    <w:rsid w:val="00D93DDB"/>
    <w:rsid w:val="00D941D7"/>
    <w:rsid w:val="00D94C4C"/>
    <w:rsid w:val="00D968A0"/>
    <w:rsid w:val="00D96B0A"/>
    <w:rsid w:val="00DA0273"/>
    <w:rsid w:val="00DA1DE2"/>
    <w:rsid w:val="00DA24DF"/>
    <w:rsid w:val="00DA452F"/>
    <w:rsid w:val="00DA455B"/>
    <w:rsid w:val="00DA5B13"/>
    <w:rsid w:val="00DA65AD"/>
    <w:rsid w:val="00DA79EF"/>
    <w:rsid w:val="00DB04AD"/>
    <w:rsid w:val="00DB1828"/>
    <w:rsid w:val="00DB282A"/>
    <w:rsid w:val="00DB52EC"/>
    <w:rsid w:val="00DB5FF3"/>
    <w:rsid w:val="00DB61B7"/>
    <w:rsid w:val="00DB7261"/>
    <w:rsid w:val="00DC0F2E"/>
    <w:rsid w:val="00DC179C"/>
    <w:rsid w:val="00DC2C88"/>
    <w:rsid w:val="00DC2CC9"/>
    <w:rsid w:val="00DC394F"/>
    <w:rsid w:val="00DC6DC1"/>
    <w:rsid w:val="00DC73D6"/>
    <w:rsid w:val="00DC7674"/>
    <w:rsid w:val="00DC7EA8"/>
    <w:rsid w:val="00DD0A63"/>
    <w:rsid w:val="00DD12A0"/>
    <w:rsid w:val="00DD218D"/>
    <w:rsid w:val="00DD31BC"/>
    <w:rsid w:val="00DD419F"/>
    <w:rsid w:val="00DD6398"/>
    <w:rsid w:val="00DD7650"/>
    <w:rsid w:val="00DE0040"/>
    <w:rsid w:val="00DE07AF"/>
    <w:rsid w:val="00DE212E"/>
    <w:rsid w:val="00DE2447"/>
    <w:rsid w:val="00DE28C1"/>
    <w:rsid w:val="00DE65FF"/>
    <w:rsid w:val="00DE67A9"/>
    <w:rsid w:val="00DE726D"/>
    <w:rsid w:val="00DE73FD"/>
    <w:rsid w:val="00DE7DAB"/>
    <w:rsid w:val="00DF33B6"/>
    <w:rsid w:val="00DF3E3E"/>
    <w:rsid w:val="00DF428B"/>
    <w:rsid w:val="00DF69BF"/>
    <w:rsid w:val="00E0040E"/>
    <w:rsid w:val="00E006B5"/>
    <w:rsid w:val="00E0070F"/>
    <w:rsid w:val="00E00CFF"/>
    <w:rsid w:val="00E0134E"/>
    <w:rsid w:val="00E01CB7"/>
    <w:rsid w:val="00E036A4"/>
    <w:rsid w:val="00E041A6"/>
    <w:rsid w:val="00E044A6"/>
    <w:rsid w:val="00E05BD4"/>
    <w:rsid w:val="00E06C6A"/>
    <w:rsid w:val="00E102B7"/>
    <w:rsid w:val="00E122C6"/>
    <w:rsid w:val="00E137F2"/>
    <w:rsid w:val="00E13E27"/>
    <w:rsid w:val="00E1435C"/>
    <w:rsid w:val="00E14C34"/>
    <w:rsid w:val="00E14D49"/>
    <w:rsid w:val="00E16FB7"/>
    <w:rsid w:val="00E235D7"/>
    <w:rsid w:val="00E2365B"/>
    <w:rsid w:val="00E236AC"/>
    <w:rsid w:val="00E23944"/>
    <w:rsid w:val="00E266F7"/>
    <w:rsid w:val="00E267AB"/>
    <w:rsid w:val="00E279D7"/>
    <w:rsid w:val="00E321F0"/>
    <w:rsid w:val="00E324CF"/>
    <w:rsid w:val="00E3275E"/>
    <w:rsid w:val="00E32EB3"/>
    <w:rsid w:val="00E34BD3"/>
    <w:rsid w:val="00E35793"/>
    <w:rsid w:val="00E36BD6"/>
    <w:rsid w:val="00E37277"/>
    <w:rsid w:val="00E3755A"/>
    <w:rsid w:val="00E377B6"/>
    <w:rsid w:val="00E3789B"/>
    <w:rsid w:val="00E42703"/>
    <w:rsid w:val="00E43E65"/>
    <w:rsid w:val="00E45FA5"/>
    <w:rsid w:val="00E47417"/>
    <w:rsid w:val="00E50319"/>
    <w:rsid w:val="00E510B3"/>
    <w:rsid w:val="00E51597"/>
    <w:rsid w:val="00E51D37"/>
    <w:rsid w:val="00E5208E"/>
    <w:rsid w:val="00E520EF"/>
    <w:rsid w:val="00E52660"/>
    <w:rsid w:val="00E54325"/>
    <w:rsid w:val="00E565C5"/>
    <w:rsid w:val="00E57072"/>
    <w:rsid w:val="00E5722D"/>
    <w:rsid w:val="00E61748"/>
    <w:rsid w:val="00E620D5"/>
    <w:rsid w:val="00E6273E"/>
    <w:rsid w:val="00E630EC"/>
    <w:rsid w:val="00E633B0"/>
    <w:rsid w:val="00E63514"/>
    <w:rsid w:val="00E6409C"/>
    <w:rsid w:val="00E64283"/>
    <w:rsid w:val="00E702DC"/>
    <w:rsid w:val="00E7097D"/>
    <w:rsid w:val="00E71ACB"/>
    <w:rsid w:val="00E747A9"/>
    <w:rsid w:val="00E767BB"/>
    <w:rsid w:val="00E8024F"/>
    <w:rsid w:val="00E82C7C"/>
    <w:rsid w:val="00E83801"/>
    <w:rsid w:val="00E865FD"/>
    <w:rsid w:val="00E877D3"/>
    <w:rsid w:val="00E87ECB"/>
    <w:rsid w:val="00E90817"/>
    <w:rsid w:val="00E911E3"/>
    <w:rsid w:val="00E94CD4"/>
    <w:rsid w:val="00E94DC4"/>
    <w:rsid w:val="00E94EAB"/>
    <w:rsid w:val="00E95923"/>
    <w:rsid w:val="00E9757A"/>
    <w:rsid w:val="00EA08FA"/>
    <w:rsid w:val="00EA1EB4"/>
    <w:rsid w:val="00EA274D"/>
    <w:rsid w:val="00EA2758"/>
    <w:rsid w:val="00EA36A8"/>
    <w:rsid w:val="00EA3C3D"/>
    <w:rsid w:val="00EA460B"/>
    <w:rsid w:val="00EA5083"/>
    <w:rsid w:val="00EA5B53"/>
    <w:rsid w:val="00EB303C"/>
    <w:rsid w:val="00EB35FD"/>
    <w:rsid w:val="00EB3D49"/>
    <w:rsid w:val="00EB49EE"/>
    <w:rsid w:val="00EB6062"/>
    <w:rsid w:val="00EC3880"/>
    <w:rsid w:val="00EC526F"/>
    <w:rsid w:val="00EC604C"/>
    <w:rsid w:val="00EC62CD"/>
    <w:rsid w:val="00EC6F74"/>
    <w:rsid w:val="00EC6FA3"/>
    <w:rsid w:val="00EC7033"/>
    <w:rsid w:val="00EC7E33"/>
    <w:rsid w:val="00ED1D5B"/>
    <w:rsid w:val="00ED1D65"/>
    <w:rsid w:val="00ED3F93"/>
    <w:rsid w:val="00ED4F47"/>
    <w:rsid w:val="00ED6FB5"/>
    <w:rsid w:val="00ED73CC"/>
    <w:rsid w:val="00ED7EA4"/>
    <w:rsid w:val="00EE0F67"/>
    <w:rsid w:val="00EE137C"/>
    <w:rsid w:val="00EE17FF"/>
    <w:rsid w:val="00EE189F"/>
    <w:rsid w:val="00EE23BE"/>
    <w:rsid w:val="00EE2AFD"/>
    <w:rsid w:val="00EE2BAD"/>
    <w:rsid w:val="00EE478B"/>
    <w:rsid w:val="00EE5C3A"/>
    <w:rsid w:val="00EE64D6"/>
    <w:rsid w:val="00EF01A7"/>
    <w:rsid w:val="00EF07D7"/>
    <w:rsid w:val="00EF27EC"/>
    <w:rsid w:val="00EF2995"/>
    <w:rsid w:val="00EF395D"/>
    <w:rsid w:val="00EF4CBA"/>
    <w:rsid w:val="00EF767C"/>
    <w:rsid w:val="00F00897"/>
    <w:rsid w:val="00F00E8F"/>
    <w:rsid w:val="00F01275"/>
    <w:rsid w:val="00F01882"/>
    <w:rsid w:val="00F01EB5"/>
    <w:rsid w:val="00F02BC6"/>
    <w:rsid w:val="00F05136"/>
    <w:rsid w:val="00F05C27"/>
    <w:rsid w:val="00F07932"/>
    <w:rsid w:val="00F10A08"/>
    <w:rsid w:val="00F10BEF"/>
    <w:rsid w:val="00F10FEA"/>
    <w:rsid w:val="00F1140D"/>
    <w:rsid w:val="00F114DB"/>
    <w:rsid w:val="00F12AEC"/>
    <w:rsid w:val="00F12C8B"/>
    <w:rsid w:val="00F140B9"/>
    <w:rsid w:val="00F14620"/>
    <w:rsid w:val="00F17B80"/>
    <w:rsid w:val="00F201A9"/>
    <w:rsid w:val="00F2045B"/>
    <w:rsid w:val="00F204E8"/>
    <w:rsid w:val="00F216FB"/>
    <w:rsid w:val="00F218AE"/>
    <w:rsid w:val="00F24016"/>
    <w:rsid w:val="00F2505A"/>
    <w:rsid w:val="00F25206"/>
    <w:rsid w:val="00F271B6"/>
    <w:rsid w:val="00F276A3"/>
    <w:rsid w:val="00F301A5"/>
    <w:rsid w:val="00F319F3"/>
    <w:rsid w:val="00F32860"/>
    <w:rsid w:val="00F33859"/>
    <w:rsid w:val="00F341C4"/>
    <w:rsid w:val="00F34EDE"/>
    <w:rsid w:val="00F3621F"/>
    <w:rsid w:val="00F368DB"/>
    <w:rsid w:val="00F40A89"/>
    <w:rsid w:val="00F413F5"/>
    <w:rsid w:val="00F41828"/>
    <w:rsid w:val="00F42339"/>
    <w:rsid w:val="00F42453"/>
    <w:rsid w:val="00F43B5D"/>
    <w:rsid w:val="00F45063"/>
    <w:rsid w:val="00F466CC"/>
    <w:rsid w:val="00F47063"/>
    <w:rsid w:val="00F4749E"/>
    <w:rsid w:val="00F5008C"/>
    <w:rsid w:val="00F5018F"/>
    <w:rsid w:val="00F5111E"/>
    <w:rsid w:val="00F51A4B"/>
    <w:rsid w:val="00F523F8"/>
    <w:rsid w:val="00F52AB2"/>
    <w:rsid w:val="00F55A22"/>
    <w:rsid w:val="00F56226"/>
    <w:rsid w:val="00F5654E"/>
    <w:rsid w:val="00F56D50"/>
    <w:rsid w:val="00F61077"/>
    <w:rsid w:val="00F61554"/>
    <w:rsid w:val="00F61941"/>
    <w:rsid w:val="00F61952"/>
    <w:rsid w:val="00F619C5"/>
    <w:rsid w:val="00F61F05"/>
    <w:rsid w:val="00F63406"/>
    <w:rsid w:val="00F63FCB"/>
    <w:rsid w:val="00F669FD"/>
    <w:rsid w:val="00F66D15"/>
    <w:rsid w:val="00F70217"/>
    <w:rsid w:val="00F7416D"/>
    <w:rsid w:val="00F74968"/>
    <w:rsid w:val="00F74D85"/>
    <w:rsid w:val="00F76280"/>
    <w:rsid w:val="00F76423"/>
    <w:rsid w:val="00F77208"/>
    <w:rsid w:val="00F841A9"/>
    <w:rsid w:val="00F84668"/>
    <w:rsid w:val="00F8599B"/>
    <w:rsid w:val="00F86585"/>
    <w:rsid w:val="00F867C7"/>
    <w:rsid w:val="00F90B18"/>
    <w:rsid w:val="00F90CD3"/>
    <w:rsid w:val="00F91937"/>
    <w:rsid w:val="00F91E5D"/>
    <w:rsid w:val="00F921AE"/>
    <w:rsid w:val="00F92C4A"/>
    <w:rsid w:val="00F93896"/>
    <w:rsid w:val="00F93FA5"/>
    <w:rsid w:val="00F95585"/>
    <w:rsid w:val="00FA09AD"/>
    <w:rsid w:val="00FA15CF"/>
    <w:rsid w:val="00FA1731"/>
    <w:rsid w:val="00FA3873"/>
    <w:rsid w:val="00FA4980"/>
    <w:rsid w:val="00FA5C76"/>
    <w:rsid w:val="00FB1280"/>
    <w:rsid w:val="00FB73F8"/>
    <w:rsid w:val="00FC1AF4"/>
    <w:rsid w:val="00FC1BC8"/>
    <w:rsid w:val="00FC2B88"/>
    <w:rsid w:val="00FC37BA"/>
    <w:rsid w:val="00FC4309"/>
    <w:rsid w:val="00FC4B87"/>
    <w:rsid w:val="00FC4CB3"/>
    <w:rsid w:val="00FC5358"/>
    <w:rsid w:val="00FC5F4E"/>
    <w:rsid w:val="00FC624C"/>
    <w:rsid w:val="00FC721F"/>
    <w:rsid w:val="00FC74BC"/>
    <w:rsid w:val="00FD04C4"/>
    <w:rsid w:val="00FD0B1E"/>
    <w:rsid w:val="00FD2558"/>
    <w:rsid w:val="00FD46BB"/>
    <w:rsid w:val="00FD4981"/>
    <w:rsid w:val="00FD63D8"/>
    <w:rsid w:val="00FD6952"/>
    <w:rsid w:val="00FD775B"/>
    <w:rsid w:val="00FE02C9"/>
    <w:rsid w:val="00FE03B8"/>
    <w:rsid w:val="00FE06CF"/>
    <w:rsid w:val="00FE0CD9"/>
    <w:rsid w:val="00FE14EA"/>
    <w:rsid w:val="00FE1628"/>
    <w:rsid w:val="00FE39BF"/>
    <w:rsid w:val="00FE423F"/>
    <w:rsid w:val="00FE469E"/>
    <w:rsid w:val="00FE488A"/>
    <w:rsid w:val="00FE759F"/>
    <w:rsid w:val="00FF0D78"/>
    <w:rsid w:val="00FF19F9"/>
    <w:rsid w:val="00FF1DC8"/>
    <w:rsid w:val="00FF4949"/>
    <w:rsid w:val="00FF4B40"/>
    <w:rsid w:val="00FF4D18"/>
    <w:rsid w:val="00FF700E"/>
    <w:rsid w:val="00FF7BF8"/>
  </w:rsids>
  <m:mathPr>
    <m:mathFont m:val="Cambria Math"/>
    <m:brkBin m:val="before"/>
    <m:brkBinSub m:val="--"/>
    <m:smallFrac m:val="0"/>
    <m:dispDef/>
    <m:lMargin m:val="0"/>
    <m:rMargin m:val="0"/>
    <m:defJc m:val="centerGroup"/>
    <m:wrapIndent m:val="1440"/>
    <m:intLim m:val="subSup"/>
    <m:naryLim m:val="undOvr"/>
  </m:mathPr>
  <w:themeFontLang w:val="nl-BE"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44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163"/>
    <w:rPr>
      <w:lang w:val="en-GB"/>
    </w:rPr>
  </w:style>
  <w:style w:type="paragraph" w:styleId="Heading1">
    <w:name w:val="heading 1"/>
    <w:basedOn w:val="Normal"/>
    <w:next w:val="Normal"/>
    <w:link w:val="Heading1Char"/>
    <w:uiPriority w:val="9"/>
    <w:qFormat/>
    <w:rsid w:val="00B824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A44D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Fiche List Paragraph,Task Body,Viñetas (Inicio Parrafo),3 Txt tabla,Zerrenda-paragrafoa,Lista multicolor - Énfasis 11,Paragrafo elenco,Dot pt,No Spacing1,List Paragraph Char Char Char,Indicator Text,Bullet 1,Numbered Para 1,Nad,L"/>
    <w:basedOn w:val="Normal"/>
    <w:link w:val="ListParagraphChar"/>
    <w:uiPriority w:val="34"/>
    <w:qFormat/>
    <w:rsid w:val="008F6CD9"/>
    <w:pPr>
      <w:ind w:left="720"/>
      <w:contextualSpacing/>
    </w:pPr>
  </w:style>
  <w:style w:type="character" w:customStyle="1" w:styleId="ListParagraphChar">
    <w:name w:val="List Paragraph Char"/>
    <w:aliases w:val="Bullet Char,Fiche List Paragraph Char,Task Body Char,Viñetas (Inicio Parrafo) Char,3 Txt tabla Char,Zerrenda-paragrafoa Char,Lista multicolor - Énfasis 11 Char,Paragrafo elenco Char,Dot pt Char,No Spacing1 Char,Indicator Text Char"/>
    <w:link w:val="ListParagraph"/>
    <w:uiPriority w:val="34"/>
    <w:qFormat/>
    <w:locked/>
    <w:rsid w:val="00BF1D75"/>
  </w:style>
  <w:style w:type="paragraph" w:customStyle="1" w:styleId="Briefingtext">
    <w:name w:val="Briefing text"/>
    <w:basedOn w:val="Normal"/>
    <w:link w:val="BriefingtextChar"/>
    <w:rsid w:val="00BF1D75"/>
    <w:pPr>
      <w:spacing w:after="240" w:line="240" w:lineRule="auto"/>
      <w:jc w:val="both"/>
    </w:pPr>
    <w:rPr>
      <w:rFonts w:ascii="Arial" w:eastAsia="Times New Roman" w:hAnsi="Arial" w:cs="Arial"/>
      <w:szCs w:val="24"/>
    </w:rPr>
  </w:style>
  <w:style w:type="character" w:customStyle="1" w:styleId="BriefingtextChar">
    <w:name w:val="Briefing text Char"/>
    <w:link w:val="Briefingtext"/>
    <w:rsid w:val="00BF1D75"/>
    <w:rPr>
      <w:rFonts w:ascii="Arial" w:eastAsia="Times New Roman" w:hAnsi="Arial" w:cs="Arial"/>
      <w:szCs w:val="24"/>
      <w:lang w:val="en-GB"/>
    </w:rPr>
  </w:style>
  <w:style w:type="paragraph" w:styleId="BalloonText">
    <w:name w:val="Balloon Text"/>
    <w:basedOn w:val="Normal"/>
    <w:link w:val="BalloonTextChar"/>
    <w:uiPriority w:val="99"/>
    <w:semiHidden/>
    <w:unhideWhenUsed/>
    <w:rsid w:val="00D84F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F4D"/>
    <w:rPr>
      <w:rFonts w:ascii="Segoe UI" w:hAnsi="Segoe UI" w:cs="Segoe UI"/>
      <w:sz w:val="18"/>
      <w:szCs w:val="18"/>
    </w:rPr>
  </w:style>
  <w:style w:type="character" w:styleId="CommentReference">
    <w:name w:val="annotation reference"/>
    <w:basedOn w:val="DefaultParagraphFont"/>
    <w:uiPriority w:val="99"/>
    <w:semiHidden/>
    <w:unhideWhenUsed/>
    <w:rsid w:val="00D84F4D"/>
    <w:rPr>
      <w:sz w:val="16"/>
      <w:szCs w:val="16"/>
    </w:rPr>
  </w:style>
  <w:style w:type="paragraph" w:styleId="CommentText">
    <w:name w:val="annotation text"/>
    <w:basedOn w:val="Normal"/>
    <w:link w:val="CommentTextChar"/>
    <w:uiPriority w:val="99"/>
    <w:unhideWhenUsed/>
    <w:rsid w:val="00D84F4D"/>
    <w:pPr>
      <w:spacing w:line="240" w:lineRule="auto"/>
    </w:pPr>
    <w:rPr>
      <w:sz w:val="20"/>
      <w:szCs w:val="20"/>
    </w:rPr>
  </w:style>
  <w:style w:type="character" w:customStyle="1" w:styleId="CommentTextChar">
    <w:name w:val="Comment Text Char"/>
    <w:basedOn w:val="DefaultParagraphFont"/>
    <w:link w:val="CommentText"/>
    <w:uiPriority w:val="99"/>
    <w:rsid w:val="00D84F4D"/>
    <w:rPr>
      <w:sz w:val="20"/>
      <w:szCs w:val="20"/>
    </w:rPr>
  </w:style>
  <w:style w:type="paragraph" w:styleId="CommentSubject">
    <w:name w:val="annotation subject"/>
    <w:basedOn w:val="CommentText"/>
    <w:next w:val="CommentText"/>
    <w:link w:val="CommentSubjectChar"/>
    <w:uiPriority w:val="99"/>
    <w:semiHidden/>
    <w:unhideWhenUsed/>
    <w:rsid w:val="00D84F4D"/>
    <w:rPr>
      <w:b/>
      <w:bCs/>
    </w:rPr>
  </w:style>
  <w:style w:type="character" w:customStyle="1" w:styleId="CommentSubjectChar">
    <w:name w:val="Comment Subject Char"/>
    <w:basedOn w:val="CommentTextChar"/>
    <w:link w:val="CommentSubject"/>
    <w:uiPriority w:val="99"/>
    <w:semiHidden/>
    <w:rsid w:val="00D84F4D"/>
    <w:rPr>
      <w:b/>
      <w:bCs/>
      <w:sz w:val="20"/>
      <w:szCs w:val="20"/>
    </w:rPr>
  </w:style>
  <w:style w:type="paragraph" w:styleId="Revision">
    <w:name w:val="Revision"/>
    <w:hidden/>
    <w:uiPriority w:val="99"/>
    <w:semiHidden/>
    <w:rsid w:val="00A50CD9"/>
    <w:pPr>
      <w:spacing w:after="0" w:line="240" w:lineRule="auto"/>
    </w:pPr>
  </w:style>
  <w:style w:type="paragraph" w:customStyle="1" w:styleId="Briefingtitle1">
    <w:name w:val="Briefing title 1"/>
    <w:basedOn w:val="Normal"/>
    <w:next w:val="Normal"/>
    <w:link w:val="Briefingtitle1Char"/>
    <w:rsid w:val="00FA09AD"/>
    <w:pPr>
      <w:spacing w:before="360" w:after="360" w:line="240" w:lineRule="auto"/>
      <w:jc w:val="center"/>
    </w:pPr>
    <w:rPr>
      <w:rFonts w:ascii="Arial" w:eastAsia="Times New Roman" w:hAnsi="Arial" w:cs="Arial"/>
      <w:b/>
      <w:sz w:val="28"/>
      <w:szCs w:val="24"/>
    </w:rPr>
  </w:style>
  <w:style w:type="paragraph" w:styleId="Header">
    <w:name w:val="header"/>
    <w:basedOn w:val="Normal"/>
    <w:link w:val="HeaderChar"/>
    <w:uiPriority w:val="99"/>
    <w:unhideWhenUsed/>
    <w:rsid w:val="007A4D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4D00"/>
  </w:style>
  <w:style w:type="paragraph" w:styleId="Footer">
    <w:name w:val="footer"/>
    <w:basedOn w:val="Normal"/>
    <w:link w:val="FooterChar"/>
    <w:uiPriority w:val="99"/>
    <w:unhideWhenUsed/>
    <w:rsid w:val="007A4D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4D00"/>
  </w:style>
  <w:style w:type="paragraph" w:customStyle="1" w:styleId="Default">
    <w:name w:val="Default"/>
    <w:basedOn w:val="Normal"/>
    <w:rsid w:val="00FD46BB"/>
    <w:pPr>
      <w:autoSpaceDE w:val="0"/>
      <w:autoSpaceDN w:val="0"/>
      <w:spacing w:after="0" w:line="240" w:lineRule="auto"/>
    </w:pPr>
    <w:rPr>
      <w:rFonts w:ascii="Times New Roman" w:hAnsi="Times New Roman" w:cs="Times New Roman"/>
      <w:color w:val="000000"/>
      <w:sz w:val="24"/>
      <w:szCs w:val="24"/>
    </w:rPr>
  </w:style>
  <w:style w:type="paragraph" w:styleId="FootnoteText">
    <w:name w:val="footnote text"/>
    <w:aliases w:val="Footnote Text Char1,Footnote Text Char2 Char,Footnote Text Char1 Char Char,Footnote Text Char2 Char Char Char,Footnote Text Char1 Char Char Char Char,Footnote Text Char2 Char Char Char Char Char,Plonk,fn,Schriftart: 9 pt,Schriftart: 10 pt"/>
    <w:basedOn w:val="Normal"/>
    <w:link w:val="FootnoteTextChar"/>
    <w:unhideWhenUsed/>
    <w:qFormat/>
    <w:rsid w:val="00154321"/>
    <w:pPr>
      <w:spacing w:after="0" w:line="240" w:lineRule="auto"/>
    </w:pPr>
    <w:rPr>
      <w:sz w:val="20"/>
      <w:szCs w:val="20"/>
    </w:rPr>
  </w:style>
  <w:style w:type="character" w:customStyle="1" w:styleId="FootnoteTextChar">
    <w:name w:val="Footnote Text Char"/>
    <w:aliases w:val="Footnote Text Char1 Char,Footnote Text Char2 Char Char,Footnote Text Char1 Char Char Char,Footnote Text Char2 Char Char Char Char,Footnote Text Char1 Char Char Char Char Char,Footnote Text Char2 Char Char Char Char Char Char,fn Char"/>
    <w:basedOn w:val="DefaultParagraphFont"/>
    <w:link w:val="FootnoteText"/>
    <w:rsid w:val="00154321"/>
    <w:rPr>
      <w:sz w:val="20"/>
      <w:szCs w:val="20"/>
    </w:rPr>
  </w:style>
  <w:style w:type="character" w:styleId="FootnoteReference">
    <w:name w:val="footnote reference"/>
    <w:aliases w:val="Footnote Reference Number,Footnote Reference_LVL6,Footnote Reference_LVL61,Footnote Reference_LVL62,Footnote Reference_LVL63,Footnote Reference_LVL64,Footnote Reference_LVL65,Footnote symbol,Times 10 Point,Exposant 3 Point,R,note TESI"/>
    <w:basedOn w:val="DefaultParagraphFont"/>
    <w:link w:val="FootnotesymbolChar"/>
    <w:uiPriority w:val="99"/>
    <w:unhideWhenUsed/>
    <w:qFormat/>
    <w:rsid w:val="00154321"/>
    <w:rPr>
      <w:vertAlign w:val="superscript"/>
    </w:rPr>
  </w:style>
  <w:style w:type="character" w:styleId="Hyperlink">
    <w:name w:val="Hyperlink"/>
    <w:basedOn w:val="DefaultParagraphFont"/>
    <w:uiPriority w:val="99"/>
    <w:unhideWhenUsed/>
    <w:rsid w:val="00154321"/>
    <w:rPr>
      <w:color w:val="0000FF" w:themeColor="hyperlink"/>
      <w:u w:val="single"/>
    </w:rPr>
  </w:style>
  <w:style w:type="paragraph" w:customStyle="1" w:styleId="FootnotesymbolChar">
    <w:name w:val="Footnote symbol Char"/>
    <w:aliases w:val="Footnote reference number Char,Times 10 Point Char,Exposant 3 Point Char,EN Footnote Reference Char,note TESI Char,SUPERS Char,Nota Char,Footnote number Char, Char1 Char,Char1 Char,Ref Char,de nota al pie Char"/>
    <w:basedOn w:val="Normal"/>
    <w:link w:val="FootnoteReference"/>
    <w:uiPriority w:val="99"/>
    <w:rsid w:val="001370E7"/>
    <w:pPr>
      <w:spacing w:before="120" w:after="160" w:line="240" w:lineRule="exact"/>
      <w:jc w:val="both"/>
    </w:pPr>
    <w:rPr>
      <w:vertAlign w:val="superscript"/>
    </w:rPr>
  </w:style>
  <w:style w:type="character" w:styleId="FollowedHyperlink">
    <w:name w:val="FollowedHyperlink"/>
    <w:basedOn w:val="DefaultParagraphFont"/>
    <w:uiPriority w:val="99"/>
    <w:semiHidden/>
    <w:unhideWhenUsed/>
    <w:rsid w:val="00824E54"/>
    <w:rPr>
      <w:color w:val="800080" w:themeColor="followedHyperlink"/>
      <w:u w:val="single"/>
    </w:rPr>
  </w:style>
  <w:style w:type="paragraph" w:customStyle="1" w:styleId="Body">
    <w:name w:val="Body"/>
    <w:rsid w:val="00C51AC1"/>
    <w:pPr>
      <w:pBdr>
        <w:top w:val="nil"/>
        <w:left w:val="nil"/>
        <w:bottom w:val="nil"/>
        <w:right w:val="nil"/>
        <w:between w:val="nil"/>
        <w:bar w:val="nil"/>
      </w:pBdr>
    </w:pPr>
    <w:rPr>
      <w:rFonts w:ascii="Calibri" w:eastAsia="Arial Unicode MS" w:hAnsi="Calibri" w:cs="Arial Unicode MS"/>
      <w:color w:val="000000"/>
      <w:u w:color="000000"/>
      <w:bdr w:val="nil"/>
      <w:lang w:val="en-US"/>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B8240D"/>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B8240D"/>
    <w:pPr>
      <w:spacing w:line="259" w:lineRule="auto"/>
      <w:outlineLvl w:val="9"/>
    </w:pPr>
    <w:rPr>
      <w:lang w:val="en-US"/>
    </w:rPr>
  </w:style>
  <w:style w:type="paragraph" w:customStyle="1" w:styleId="Style1">
    <w:name w:val="Style1"/>
    <w:basedOn w:val="Heading2"/>
    <w:link w:val="Style1Char"/>
    <w:qFormat/>
    <w:rsid w:val="004A44DB"/>
    <w:pPr>
      <w:numPr>
        <w:numId w:val="1"/>
      </w:numPr>
      <w:spacing w:after="120" w:line="240" w:lineRule="auto"/>
      <w:jc w:val="both"/>
    </w:pPr>
    <w:rPr>
      <w:rFonts w:ascii="Times New Roman" w:hAnsi="Times New Roman" w:cs="Times New Roman"/>
      <w:b/>
      <w:smallCaps/>
      <w:sz w:val="24"/>
      <w:szCs w:val="24"/>
    </w:rPr>
  </w:style>
  <w:style w:type="paragraph" w:styleId="TOC2">
    <w:name w:val="toc 2"/>
    <w:basedOn w:val="Normal"/>
    <w:next w:val="Normal"/>
    <w:autoRedefine/>
    <w:uiPriority w:val="39"/>
    <w:unhideWhenUsed/>
    <w:rsid w:val="0041641E"/>
    <w:pPr>
      <w:spacing w:after="100"/>
      <w:ind w:left="220"/>
    </w:pPr>
  </w:style>
  <w:style w:type="character" w:customStyle="1" w:styleId="Heading2Char">
    <w:name w:val="Heading 2 Char"/>
    <w:basedOn w:val="DefaultParagraphFont"/>
    <w:link w:val="Heading2"/>
    <w:uiPriority w:val="9"/>
    <w:semiHidden/>
    <w:rsid w:val="004A44DB"/>
    <w:rPr>
      <w:rFonts w:asciiTheme="majorHAnsi" w:eastAsiaTheme="majorEastAsia" w:hAnsiTheme="majorHAnsi" w:cstheme="majorBidi"/>
      <w:color w:val="365F91" w:themeColor="accent1" w:themeShade="BF"/>
      <w:sz w:val="26"/>
      <w:szCs w:val="26"/>
    </w:rPr>
  </w:style>
  <w:style w:type="character" w:customStyle="1" w:styleId="Style1Char">
    <w:name w:val="Style1 Char"/>
    <w:basedOn w:val="Heading2Char"/>
    <w:link w:val="Style1"/>
    <w:rsid w:val="004A44DB"/>
    <w:rPr>
      <w:rFonts w:ascii="Times New Roman" w:eastAsiaTheme="majorEastAsia" w:hAnsi="Times New Roman" w:cs="Times New Roman"/>
      <w:b/>
      <w:smallCaps/>
      <w:color w:val="365F91" w:themeColor="accent1" w:themeShade="BF"/>
      <w:sz w:val="24"/>
      <w:szCs w:val="24"/>
      <w:lang w:val="en-GB"/>
    </w:rPr>
  </w:style>
  <w:style w:type="paragraph" w:styleId="Caption">
    <w:name w:val="caption"/>
    <w:basedOn w:val="Normal"/>
    <w:next w:val="Normal"/>
    <w:uiPriority w:val="35"/>
    <w:unhideWhenUsed/>
    <w:qFormat/>
    <w:rsid w:val="007846D1"/>
    <w:pPr>
      <w:spacing w:line="240" w:lineRule="auto"/>
    </w:pPr>
    <w:rPr>
      <w:rFonts w:ascii="Times New Roman" w:hAnsi="Times New Roman" w:cs="Times New Roman"/>
      <w:b/>
      <w:iCs/>
      <w:sz w:val="24"/>
      <w:szCs w:val="24"/>
    </w:rPr>
  </w:style>
  <w:style w:type="paragraph" w:styleId="NormalWeb">
    <w:name w:val="Normal (Web)"/>
    <w:basedOn w:val="Normal"/>
    <w:uiPriority w:val="99"/>
    <w:unhideWhenUsed/>
    <w:rsid w:val="009054D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541146"/>
    <w:rPr>
      <w:i/>
      <w:iCs/>
    </w:rPr>
  </w:style>
  <w:style w:type="paragraph" w:styleId="PlainText">
    <w:name w:val="Plain Text"/>
    <w:basedOn w:val="Normal"/>
    <w:link w:val="PlainTextChar"/>
    <w:uiPriority w:val="99"/>
    <w:semiHidden/>
    <w:unhideWhenUsed/>
    <w:rsid w:val="006D7C0F"/>
    <w:pPr>
      <w:spacing w:after="0" w:line="240" w:lineRule="auto"/>
    </w:pPr>
    <w:rPr>
      <w:rFonts w:ascii="Calibri" w:hAnsi="Calibri" w:cs="Calibri"/>
      <w:lang w:eastAsia="en-GB"/>
    </w:rPr>
  </w:style>
  <w:style w:type="character" w:customStyle="1" w:styleId="PlainTextChar">
    <w:name w:val="Plain Text Char"/>
    <w:basedOn w:val="DefaultParagraphFont"/>
    <w:link w:val="PlainText"/>
    <w:uiPriority w:val="99"/>
    <w:semiHidden/>
    <w:rsid w:val="006D7C0F"/>
    <w:rPr>
      <w:rFonts w:ascii="Calibri" w:hAnsi="Calibri" w:cs="Calibri"/>
      <w:lang w:val="en-GB" w:eastAsia="en-GB"/>
    </w:rPr>
  </w:style>
  <w:style w:type="table" w:styleId="TableGrid">
    <w:name w:val="Table Grid"/>
    <w:basedOn w:val="TableNormal"/>
    <w:uiPriority w:val="39"/>
    <w:rsid w:val="00FF4D18"/>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r">
    <w:name w:val="Marker"/>
    <w:basedOn w:val="DefaultParagraphFont"/>
    <w:rsid w:val="0006704B"/>
    <w:rPr>
      <w:color w:val="0000FF"/>
      <w:shd w:val="clear" w:color="auto" w:fill="auto"/>
    </w:rPr>
  </w:style>
  <w:style w:type="paragraph" w:customStyle="1" w:styleId="Pagedecouverture">
    <w:name w:val="Page de couverture"/>
    <w:basedOn w:val="Normal"/>
    <w:next w:val="Normal"/>
    <w:rsid w:val="0006704B"/>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06704B"/>
    <w:pPr>
      <w:pBdr>
        <w:bottom w:val="single" w:sz="4" w:space="1" w:color="auto"/>
      </w:pBdr>
      <w:tabs>
        <w:tab w:val="center" w:pos="4535"/>
        <w:tab w:val="right" w:pos="9071"/>
        <w:tab w:val="right" w:pos="9921"/>
      </w:tabs>
      <w:spacing w:before="360" w:after="0" w:line="240" w:lineRule="auto"/>
      <w:ind w:left="-850" w:right="-850"/>
      <w:contextualSpacing/>
    </w:pPr>
    <w:rPr>
      <w:rFonts w:ascii="Times New Roman" w:hAnsi="Times New Roman" w:cs="Times New Roman"/>
      <w:sz w:val="24"/>
    </w:rPr>
  </w:style>
  <w:style w:type="character" w:customStyle="1" w:styleId="Briefingtitle1Char">
    <w:name w:val="Briefing title 1 Char"/>
    <w:basedOn w:val="DefaultParagraphFont"/>
    <w:link w:val="Briefingtitle1"/>
    <w:rsid w:val="0006704B"/>
    <w:rPr>
      <w:rFonts w:ascii="Arial" w:eastAsia="Times New Roman" w:hAnsi="Arial" w:cs="Arial"/>
      <w:b/>
      <w:sz w:val="28"/>
      <w:szCs w:val="24"/>
      <w:lang w:val="en-GB"/>
    </w:rPr>
  </w:style>
  <w:style w:type="character" w:customStyle="1" w:styleId="FooterCoverPageChar">
    <w:name w:val="Footer Cover Page Char"/>
    <w:basedOn w:val="Briefingtitle1Char"/>
    <w:link w:val="FooterCoverPage"/>
    <w:rsid w:val="0006704B"/>
    <w:rPr>
      <w:rFonts w:ascii="Times New Roman" w:eastAsia="Times New Roman" w:hAnsi="Times New Roman" w:cs="Times New Roman"/>
      <w:b w:val="0"/>
      <w:sz w:val="24"/>
      <w:szCs w:val="24"/>
      <w:lang w:val="en-GB"/>
    </w:rPr>
  </w:style>
  <w:style w:type="paragraph" w:customStyle="1" w:styleId="FooterSensitivity">
    <w:name w:val="Footer Sensitivity"/>
    <w:basedOn w:val="Normal"/>
    <w:link w:val="FooterSensitivityChar"/>
    <w:rsid w:val="0006704B"/>
    <w:pPr>
      <w:pBdr>
        <w:top w:val="single" w:sz="4" w:space="1" w:color="auto"/>
        <w:left w:val="single" w:sz="4" w:space="4" w:color="auto"/>
        <w:bottom w:val="single" w:sz="4" w:space="1" w:color="auto"/>
        <w:right w:val="single" w:sz="4" w:space="4" w:color="auto"/>
      </w:pBdr>
      <w:spacing w:before="360" w:after="0" w:line="240" w:lineRule="auto"/>
      <w:ind w:left="113" w:right="113"/>
      <w:contextualSpacing/>
      <w:jc w:val="center"/>
    </w:pPr>
    <w:rPr>
      <w:rFonts w:ascii="Times New Roman" w:hAnsi="Times New Roman" w:cs="Times New Roman"/>
      <w:b/>
      <w:sz w:val="32"/>
    </w:rPr>
  </w:style>
  <w:style w:type="character" w:customStyle="1" w:styleId="FooterSensitivityChar">
    <w:name w:val="Footer Sensitivity Char"/>
    <w:basedOn w:val="Briefingtitle1Char"/>
    <w:link w:val="FooterSensitivity"/>
    <w:rsid w:val="0006704B"/>
    <w:rPr>
      <w:rFonts w:ascii="Times New Roman" w:eastAsia="Times New Roman" w:hAnsi="Times New Roman" w:cs="Times New Roman"/>
      <w:b/>
      <w:sz w:val="32"/>
      <w:szCs w:val="24"/>
      <w:lang w:val="en-GB"/>
    </w:rPr>
  </w:style>
  <w:style w:type="paragraph" w:customStyle="1" w:styleId="HeaderCoverPage">
    <w:name w:val="Header Cover Page"/>
    <w:basedOn w:val="Normal"/>
    <w:link w:val="HeaderCoverPageChar"/>
    <w:rsid w:val="0006704B"/>
    <w:pPr>
      <w:pBdr>
        <w:bottom w:val="single" w:sz="4" w:space="1" w:color="auto"/>
      </w:pBdr>
      <w:tabs>
        <w:tab w:val="center" w:pos="4535"/>
        <w:tab w:val="right" w:pos="9071"/>
      </w:tabs>
      <w:spacing w:after="120" w:line="240" w:lineRule="auto"/>
      <w:contextualSpacing/>
      <w:jc w:val="both"/>
    </w:pPr>
    <w:rPr>
      <w:rFonts w:ascii="Times New Roman" w:hAnsi="Times New Roman" w:cs="Times New Roman"/>
      <w:sz w:val="24"/>
    </w:rPr>
  </w:style>
  <w:style w:type="character" w:customStyle="1" w:styleId="HeaderCoverPageChar">
    <w:name w:val="Header Cover Page Char"/>
    <w:basedOn w:val="Briefingtitle1Char"/>
    <w:link w:val="HeaderCoverPage"/>
    <w:rsid w:val="0006704B"/>
    <w:rPr>
      <w:rFonts w:ascii="Times New Roman" w:eastAsia="Times New Roman" w:hAnsi="Times New Roman" w:cs="Times New Roman"/>
      <w:b w:val="0"/>
      <w:sz w:val="24"/>
      <w:szCs w:val="24"/>
      <w:lang w:val="en-GB"/>
    </w:rPr>
  </w:style>
  <w:style w:type="paragraph" w:customStyle="1" w:styleId="HeaderSensitivity">
    <w:name w:val="Header Sensitivity"/>
    <w:basedOn w:val="Normal"/>
    <w:link w:val="HeaderSensitivityChar"/>
    <w:rsid w:val="0006704B"/>
    <w:pPr>
      <w:pBdr>
        <w:top w:val="single" w:sz="4" w:space="1" w:color="auto"/>
        <w:left w:val="single" w:sz="4" w:space="4" w:color="auto"/>
        <w:bottom w:val="single" w:sz="4" w:space="1" w:color="auto"/>
        <w:right w:val="single" w:sz="4" w:space="4" w:color="auto"/>
      </w:pBdr>
      <w:spacing w:after="120" w:line="240" w:lineRule="auto"/>
      <w:ind w:left="113" w:right="113"/>
      <w:contextualSpacing/>
      <w:jc w:val="center"/>
    </w:pPr>
    <w:rPr>
      <w:rFonts w:ascii="Times New Roman" w:hAnsi="Times New Roman" w:cs="Times New Roman"/>
      <w:b/>
      <w:sz w:val="32"/>
    </w:rPr>
  </w:style>
  <w:style w:type="character" w:customStyle="1" w:styleId="HeaderSensitivityChar">
    <w:name w:val="Header Sensitivity Char"/>
    <w:basedOn w:val="Briefingtitle1Char"/>
    <w:link w:val="HeaderSensitivity"/>
    <w:rsid w:val="0006704B"/>
    <w:rPr>
      <w:rFonts w:ascii="Times New Roman" w:eastAsia="Times New Roman" w:hAnsi="Times New Roman" w:cs="Times New Roman"/>
      <w:b/>
      <w:sz w:val="32"/>
      <w:szCs w:val="24"/>
      <w:lang w:val="en-GB"/>
    </w:rPr>
  </w:style>
  <w:style w:type="paragraph" w:customStyle="1" w:styleId="HeaderSensitivityRight">
    <w:name w:val="Header Sensitivity Right"/>
    <w:basedOn w:val="Normal"/>
    <w:link w:val="HeaderSensitivityRightChar"/>
    <w:rsid w:val="0006704B"/>
    <w:pPr>
      <w:pBdr>
        <w:bottom w:val="single" w:sz="4" w:space="1" w:color="auto"/>
      </w:pBdr>
      <w:spacing w:after="120" w:line="240" w:lineRule="auto"/>
      <w:contextualSpacing/>
      <w:jc w:val="right"/>
    </w:pPr>
    <w:rPr>
      <w:rFonts w:ascii="Times New Roman" w:hAnsi="Times New Roman" w:cs="Times New Roman"/>
      <w:sz w:val="28"/>
    </w:rPr>
  </w:style>
  <w:style w:type="character" w:customStyle="1" w:styleId="HeaderSensitivityRightChar">
    <w:name w:val="Header Sensitivity Right Char"/>
    <w:basedOn w:val="Briefingtitle1Char"/>
    <w:link w:val="HeaderSensitivityRight"/>
    <w:rsid w:val="0006704B"/>
    <w:rPr>
      <w:rFonts w:ascii="Times New Roman" w:eastAsia="Times New Roman" w:hAnsi="Times New Roman" w:cs="Times New Roman"/>
      <w:b w:val="0"/>
      <w:sz w:val="2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6928">
      <w:bodyDiv w:val="1"/>
      <w:marLeft w:val="0"/>
      <w:marRight w:val="0"/>
      <w:marTop w:val="0"/>
      <w:marBottom w:val="0"/>
      <w:divBdr>
        <w:top w:val="none" w:sz="0" w:space="0" w:color="auto"/>
        <w:left w:val="none" w:sz="0" w:space="0" w:color="auto"/>
        <w:bottom w:val="none" w:sz="0" w:space="0" w:color="auto"/>
        <w:right w:val="none" w:sz="0" w:space="0" w:color="auto"/>
      </w:divBdr>
    </w:div>
    <w:div w:id="19935406">
      <w:bodyDiv w:val="1"/>
      <w:marLeft w:val="0"/>
      <w:marRight w:val="0"/>
      <w:marTop w:val="0"/>
      <w:marBottom w:val="0"/>
      <w:divBdr>
        <w:top w:val="none" w:sz="0" w:space="0" w:color="auto"/>
        <w:left w:val="none" w:sz="0" w:space="0" w:color="auto"/>
        <w:bottom w:val="none" w:sz="0" w:space="0" w:color="auto"/>
        <w:right w:val="none" w:sz="0" w:space="0" w:color="auto"/>
      </w:divBdr>
    </w:div>
    <w:div w:id="23560180">
      <w:bodyDiv w:val="1"/>
      <w:marLeft w:val="0"/>
      <w:marRight w:val="0"/>
      <w:marTop w:val="0"/>
      <w:marBottom w:val="0"/>
      <w:divBdr>
        <w:top w:val="none" w:sz="0" w:space="0" w:color="auto"/>
        <w:left w:val="none" w:sz="0" w:space="0" w:color="auto"/>
        <w:bottom w:val="none" w:sz="0" w:space="0" w:color="auto"/>
        <w:right w:val="none" w:sz="0" w:space="0" w:color="auto"/>
      </w:divBdr>
    </w:div>
    <w:div w:id="66617049">
      <w:bodyDiv w:val="1"/>
      <w:marLeft w:val="0"/>
      <w:marRight w:val="0"/>
      <w:marTop w:val="0"/>
      <w:marBottom w:val="0"/>
      <w:divBdr>
        <w:top w:val="none" w:sz="0" w:space="0" w:color="auto"/>
        <w:left w:val="none" w:sz="0" w:space="0" w:color="auto"/>
        <w:bottom w:val="none" w:sz="0" w:space="0" w:color="auto"/>
        <w:right w:val="none" w:sz="0" w:space="0" w:color="auto"/>
      </w:divBdr>
    </w:div>
    <w:div w:id="93788655">
      <w:bodyDiv w:val="1"/>
      <w:marLeft w:val="0"/>
      <w:marRight w:val="0"/>
      <w:marTop w:val="0"/>
      <w:marBottom w:val="0"/>
      <w:divBdr>
        <w:top w:val="none" w:sz="0" w:space="0" w:color="auto"/>
        <w:left w:val="none" w:sz="0" w:space="0" w:color="auto"/>
        <w:bottom w:val="none" w:sz="0" w:space="0" w:color="auto"/>
        <w:right w:val="none" w:sz="0" w:space="0" w:color="auto"/>
      </w:divBdr>
    </w:div>
    <w:div w:id="130292451">
      <w:bodyDiv w:val="1"/>
      <w:marLeft w:val="0"/>
      <w:marRight w:val="0"/>
      <w:marTop w:val="0"/>
      <w:marBottom w:val="0"/>
      <w:divBdr>
        <w:top w:val="none" w:sz="0" w:space="0" w:color="auto"/>
        <w:left w:val="none" w:sz="0" w:space="0" w:color="auto"/>
        <w:bottom w:val="none" w:sz="0" w:space="0" w:color="auto"/>
        <w:right w:val="none" w:sz="0" w:space="0" w:color="auto"/>
      </w:divBdr>
    </w:div>
    <w:div w:id="148905181">
      <w:bodyDiv w:val="1"/>
      <w:marLeft w:val="0"/>
      <w:marRight w:val="0"/>
      <w:marTop w:val="0"/>
      <w:marBottom w:val="0"/>
      <w:divBdr>
        <w:top w:val="none" w:sz="0" w:space="0" w:color="auto"/>
        <w:left w:val="none" w:sz="0" w:space="0" w:color="auto"/>
        <w:bottom w:val="none" w:sz="0" w:space="0" w:color="auto"/>
        <w:right w:val="none" w:sz="0" w:space="0" w:color="auto"/>
      </w:divBdr>
    </w:div>
    <w:div w:id="149753885">
      <w:bodyDiv w:val="1"/>
      <w:marLeft w:val="0"/>
      <w:marRight w:val="0"/>
      <w:marTop w:val="0"/>
      <w:marBottom w:val="0"/>
      <w:divBdr>
        <w:top w:val="none" w:sz="0" w:space="0" w:color="auto"/>
        <w:left w:val="none" w:sz="0" w:space="0" w:color="auto"/>
        <w:bottom w:val="none" w:sz="0" w:space="0" w:color="auto"/>
        <w:right w:val="none" w:sz="0" w:space="0" w:color="auto"/>
      </w:divBdr>
    </w:div>
    <w:div w:id="357316376">
      <w:bodyDiv w:val="1"/>
      <w:marLeft w:val="0"/>
      <w:marRight w:val="0"/>
      <w:marTop w:val="0"/>
      <w:marBottom w:val="0"/>
      <w:divBdr>
        <w:top w:val="none" w:sz="0" w:space="0" w:color="auto"/>
        <w:left w:val="none" w:sz="0" w:space="0" w:color="auto"/>
        <w:bottom w:val="none" w:sz="0" w:space="0" w:color="auto"/>
        <w:right w:val="none" w:sz="0" w:space="0" w:color="auto"/>
      </w:divBdr>
    </w:div>
    <w:div w:id="360130332">
      <w:bodyDiv w:val="1"/>
      <w:marLeft w:val="0"/>
      <w:marRight w:val="0"/>
      <w:marTop w:val="0"/>
      <w:marBottom w:val="0"/>
      <w:divBdr>
        <w:top w:val="none" w:sz="0" w:space="0" w:color="auto"/>
        <w:left w:val="none" w:sz="0" w:space="0" w:color="auto"/>
        <w:bottom w:val="none" w:sz="0" w:space="0" w:color="auto"/>
        <w:right w:val="none" w:sz="0" w:space="0" w:color="auto"/>
      </w:divBdr>
    </w:div>
    <w:div w:id="397479670">
      <w:bodyDiv w:val="1"/>
      <w:marLeft w:val="0"/>
      <w:marRight w:val="0"/>
      <w:marTop w:val="0"/>
      <w:marBottom w:val="0"/>
      <w:divBdr>
        <w:top w:val="none" w:sz="0" w:space="0" w:color="auto"/>
        <w:left w:val="none" w:sz="0" w:space="0" w:color="auto"/>
        <w:bottom w:val="none" w:sz="0" w:space="0" w:color="auto"/>
        <w:right w:val="none" w:sz="0" w:space="0" w:color="auto"/>
      </w:divBdr>
    </w:div>
    <w:div w:id="513688233">
      <w:bodyDiv w:val="1"/>
      <w:marLeft w:val="0"/>
      <w:marRight w:val="0"/>
      <w:marTop w:val="0"/>
      <w:marBottom w:val="0"/>
      <w:divBdr>
        <w:top w:val="none" w:sz="0" w:space="0" w:color="auto"/>
        <w:left w:val="none" w:sz="0" w:space="0" w:color="auto"/>
        <w:bottom w:val="none" w:sz="0" w:space="0" w:color="auto"/>
        <w:right w:val="none" w:sz="0" w:space="0" w:color="auto"/>
      </w:divBdr>
    </w:div>
    <w:div w:id="522209852">
      <w:bodyDiv w:val="1"/>
      <w:marLeft w:val="0"/>
      <w:marRight w:val="0"/>
      <w:marTop w:val="0"/>
      <w:marBottom w:val="0"/>
      <w:divBdr>
        <w:top w:val="none" w:sz="0" w:space="0" w:color="auto"/>
        <w:left w:val="none" w:sz="0" w:space="0" w:color="auto"/>
        <w:bottom w:val="none" w:sz="0" w:space="0" w:color="auto"/>
        <w:right w:val="none" w:sz="0" w:space="0" w:color="auto"/>
      </w:divBdr>
    </w:div>
    <w:div w:id="635068974">
      <w:bodyDiv w:val="1"/>
      <w:marLeft w:val="0"/>
      <w:marRight w:val="0"/>
      <w:marTop w:val="0"/>
      <w:marBottom w:val="0"/>
      <w:divBdr>
        <w:top w:val="none" w:sz="0" w:space="0" w:color="auto"/>
        <w:left w:val="none" w:sz="0" w:space="0" w:color="auto"/>
        <w:bottom w:val="none" w:sz="0" w:space="0" w:color="auto"/>
        <w:right w:val="none" w:sz="0" w:space="0" w:color="auto"/>
      </w:divBdr>
    </w:div>
    <w:div w:id="669521653">
      <w:bodyDiv w:val="1"/>
      <w:marLeft w:val="0"/>
      <w:marRight w:val="0"/>
      <w:marTop w:val="0"/>
      <w:marBottom w:val="0"/>
      <w:divBdr>
        <w:top w:val="none" w:sz="0" w:space="0" w:color="auto"/>
        <w:left w:val="none" w:sz="0" w:space="0" w:color="auto"/>
        <w:bottom w:val="none" w:sz="0" w:space="0" w:color="auto"/>
        <w:right w:val="none" w:sz="0" w:space="0" w:color="auto"/>
      </w:divBdr>
    </w:div>
    <w:div w:id="680160571">
      <w:bodyDiv w:val="1"/>
      <w:marLeft w:val="0"/>
      <w:marRight w:val="0"/>
      <w:marTop w:val="0"/>
      <w:marBottom w:val="0"/>
      <w:divBdr>
        <w:top w:val="none" w:sz="0" w:space="0" w:color="auto"/>
        <w:left w:val="none" w:sz="0" w:space="0" w:color="auto"/>
        <w:bottom w:val="none" w:sz="0" w:space="0" w:color="auto"/>
        <w:right w:val="none" w:sz="0" w:space="0" w:color="auto"/>
      </w:divBdr>
    </w:div>
    <w:div w:id="818495089">
      <w:bodyDiv w:val="1"/>
      <w:marLeft w:val="0"/>
      <w:marRight w:val="0"/>
      <w:marTop w:val="0"/>
      <w:marBottom w:val="0"/>
      <w:divBdr>
        <w:top w:val="none" w:sz="0" w:space="0" w:color="auto"/>
        <w:left w:val="none" w:sz="0" w:space="0" w:color="auto"/>
        <w:bottom w:val="none" w:sz="0" w:space="0" w:color="auto"/>
        <w:right w:val="none" w:sz="0" w:space="0" w:color="auto"/>
      </w:divBdr>
    </w:div>
    <w:div w:id="837117658">
      <w:bodyDiv w:val="1"/>
      <w:marLeft w:val="0"/>
      <w:marRight w:val="0"/>
      <w:marTop w:val="0"/>
      <w:marBottom w:val="0"/>
      <w:divBdr>
        <w:top w:val="none" w:sz="0" w:space="0" w:color="auto"/>
        <w:left w:val="none" w:sz="0" w:space="0" w:color="auto"/>
        <w:bottom w:val="none" w:sz="0" w:space="0" w:color="auto"/>
        <w:right w:val="none" w:sz="0" w:space="0" w:color="auto"/>
      </w:divBdr>
    </w:div>
    <w:div w:id="850148700">
      <w:bodyDiv w:val="1"/>
      <w:marLeft w:val="0"/>
      <w:marRight w:val="0"/>
      <w:marTop w:val="0"/>
      <w:marBottom w:val="0"/>
      <w:divBdr>
        <w:top w:val="none" w:sz="0" w:space="0" w:color="auto"/>
        <w:left w:val="none" w:sz="0" w:space="0" w:color="auto"/>
        <w:bottom w:val="none" w:sz="0" w:space="0" w:color="auto"/>
        <w:right w:val="none" w:sz="0" w:space="0" w:color="auto"/>
      </w:divBdr>
    </w:div>
    <w:div w:id="920025067">
      <w:bodyDiv w:val="1"/>
      <w:marLeft w:val="0"/>
      <w:marRight w:val="0"/>
      <w:marTop w:val="0"/>
      <w:marBottom w:val="0"/>
      <w:divBdr>
        <w:top w:val="none" w:sz="0" w:space="0" w:color="auto"/>
        <w:left w:val="none" w:sz="0" w:space="0" w:color="auto"/>
        <w:bottom w:val="none" w:sz="0" w:space="0" w:color="auto"/>
        <w:right w:val="none" w:sz="0" w:space="0" w:color="auto"/>
      </w:divBdr>
    </w:div>
    <w:div w:id="922951838">
      <w:bodyDiv w:val="1"/>
      <w:marLeft w:val="0"/>
      <w:marRight w:val="0"/>
      <w:marTop w:val="0"/>
      <w:marBottom w:val="0"/>
      <w:divBdr>
        <w:top w:val="none" w:sz="0" w:space="0" w:color="auto"/>
        <w:left w:val="none" w:sz="0" w:space="0" w:color="auto"/>
        <w:bottom w:val="none" w:sz="0" w:space="0" w:color="auto"/>
        <w:right w:val="none" w:sz="0" w:space="0" w:color="auto"/>
      </w:divBdr>
    </w:div>
    <w:div w:id="925042349">
      <w:bodyDiv w:val="1"/>
      <w:marLeft w:val="0"/>
      <w:marRight w:val="0"/>
      <w:marTop w:val="0"/>
      <w:marBottom w:val="0"/>
      <w:divBdr>
        <w:top w:val="none" w:sz="0" w:space="0" w:color="auto"/>
        <w:left w:val="none" w:sz="0" w:space="0" w:color="auto"/>
        <w:bottom w:val="none" w:sz="0" w:space="0" w:color="auto"/>
        <w:right w:val="none" w:sz="0" w:space="0" w:color="auto"/>
      </w:divBdr>
    </w:div>
    <w:div w:id="926186670">
      <w:bodyDiv w:val="1"/>
      <w:marLeft w:val="0"/>
      <w:marRight w:val="0"/>
      <w:marTop w:val="0"/>
      <w:marBottom w:val="0"/>
      <w:divBdr>
        <w:top w:val="none" w:sz="0" w:space="0" w:color="auto"/>
        <w:left w:val="none" w:sz="0" w:space="0" w:color="auto"/>
        <w:bottom w:val="none" w:sz="0" w:space="0" w:color="auto"/>
        <w:right w:val="none" w:sz="0" w:space="0" w:color="auto"/>
      </w:divBdr>
    </w:div>
    <w:div w:id="974290039">
      <w:bodyDiv w:val="1"/>
      <w:marLeft w:val="0"/>
      <w:marRight w:val="0"/>
      <w:marTop w:val="0"/>
      <w:marBottom w:val="0"/>
      <w:divBdr>
        <w:top w:val="none" w:sz="0" w:space="0" w:color="auto"/>
        <w:left w:val="none" w:sz="0" w:space="0" w:color="auto"/>
        <w:bottom w:val="none" w:sz="0" w:space="0" w:color="auto"/>
        <w:right w:val="none" w:sz="0" w:space="0" w:color="auto"/>
      </w:divBdr>
    </w:div>
    <w:div w:id="1010374725">
      <w:bodyDiv w:val="1"/>
      <w:marLeft w:val="0"/>
      <w:marRight w:val="0"/>
      <w:marTop w:val="0"/>
      <w:marBottom w:val="0"/>
      <w:divBdr>
        <w:top w:val="none" w:sz="0" w:space="0" w:color="auto"/>
        <w:left w:val="none" w:sz="0" w:space="0" w:color="auto"/>
        <w:bottom w:val="none" w:sz="0" w:space="0" w:color="auto"/>
        <w:right w:val="none" w:sz="0" w:space="0" w:color="auto"/>
      </w:divBdr>
    </w:div>
    <w:div w:id="1115640262">
      <w:bodyDiv w:val="1"/>
      <w:marLeft w:val="0"/>
      <w:marRight w:val="0"/>
      <w:marTop w:val="0"/>
      <w:marBottom w:val="0"/>
      <w:divBdr>
        <w:top w:val="none" w:sz="0" w:space="0" w:color="auto"/>
        <w:left w:val="none" w:sz="0" w:space="0" w:color="auto"/>
        <w:bottom w:val="none" w:sz="0" w:space="0" w:color="auto"/>
        <w:right w:val="none" w:sz="0" w:space="0" w:color="auto"/>
      </w:divBdr>
    </w:div>
    <w:div w:id="1128007245">
      <w:bodyDiv w:val="1"/>
      <w:marLeft w:val="0"/>
      <w:marRight w:val="0"/>
      <w:marTop w:val="0"/>
      <w:marBottom w:val="0"/>
      <w:divBdr>
        <w:top w:val="none" w:sz="0" w:space="0" w:color="auto"/>
        <w:left w:val="none" w:sz="0" w:space="0" w:color="auto"/>
        <w:bottom w:val="none" w:sz="0" w:space="0" w:color="auto"/>
        <w:right w:val="none" w:sz="0" w:space="0" w:color="auto"/>
      </w:divBdr>
    </w:div>
    <w:div w:id="1221091498">
      <w:bodyDiv w:val="1"/>
      <w:marLeft w:val="0"/>
      <w:marRight w:val="0"/>
      <w:marTop w:val="0"/>
      <w:marBottom w:val="0"/>
      <w:divBdr>
        <w:top w:val="none" w:sz="0" w:space="0" w:color="auto"/>
        <w:left w:val="none" w:sz="0" w:space="0" w:color="auto"/>
        <w:bottom w:val="none" w:sz="0" w:space="0" w:color="auto"/>
        <w:right w:val="none" w:sz="0" w:space="0" w:color="auto"/>
      </w:divBdr>
    </w:div>
    <w:div w:id="1369599937">
      <w:bodyDiv w:val="1"/>
      <w:marLeft w:val="0"/>
      <w:marRight w:val="0"/>
      <w:marTop w:val="0"/>
      <w:marBottom w:val="0"/>
      <w:divBdr>
        <w:top w:val="none" w:sz="0" w:space="0" w:color="auto"/>
        <w:left w:val="none" w:sz="0" w:space="0" w:color="auto"/>
        <w:bottom w:val="none" w:sz="0" w:space="0" w:color="auto"/>
        <w:right w:val="none" w:sz="0" w:space="0" w:color="auto"/>
      </w:divBdr>
    </w:div>
    <w:div w:id="1466123406">
      <w:bodyDiv w:val="1"/>
      <w:marLeft w:val="0"/>
      <w:marRight w:val="0"/>
      <w:marTop w:val="0"/>
      <w:marBottom w:val="0"/>
      <w:divBdr>
        <w:top w:val="none" w:sz="0" w:space="0" w:color="auto"/>
        <w:left w:val="none" w:sz="0" w:space="0" w:color="auto"/>
        <w:bottom w:val="none" w:sz="0" w:space="0" w:color="auto"/>
        <w:right w:val="none" w:sz="0" w:space="0" w:color="auto"/>
      </w:divBdr>
    </w:div>
    <w:div w:id="1566912053">
      <w:bodyDiv w:val="1"/>
      <w:marLeft w:val="0"/>
      <w:marRight w:val="0"/>
      <w:marTop w:val="0"/>
      <w:marBottom w:val="0"/>
      <w:divBdr>
        <w:top w:val="none" w:sz="0" w:space="0" w:color="auto"/>
        <w:left w:val="none" w:sz="0" w:space="0" w:color="auto"/>
        <w:bottom w:val="none" w:sz="0" w:space="0" w:color="auto"/>
        <w:right w:val="none" w:sz="0" w:space="0" w:color="auto"/>
      </w:divBdr>
    </w:div>
    <w:div w:id="1607079956">
      <w:bodyDiv w:val="1"/>
      <w:marLeft w:val="0"/>
      <w:marRight w:val="0"/>
      <w:marTop w:val="0"/>
      <w:marBottom w:val="0"/>
      <w:divBdr>
        <w:top w:val="none" w:sz="0" w:space="0" w:color="auto"/>
        <w:left w:val="none" w:sz="0" w:space="0" w:color="auto"/>
        <w:bottom w:val="none" w:sz="0" w:space="0" w:color="auto"/>
        <w:right w:val="none" w:sz="0" w:space="0" w:color="auto"/>
      </w:divBdr>
    </w:div>
    <w:div w:id="1760717739">
      <w:bodyDiv w:val="1"/>
      <w:marLeft w:val="0"/>
      <w:marRight w:val="0"/>
      <w:marTop w:val="0"/>
      <w:marBottom w:val="0"/>
      <w:divBdr>
        <w:top w:val="none" w:sz="0" w:space="0" w:color="auto"/>
        <w:left w:val="none" w:sz="0" w:space="0" w:color="auto"/>
        <w:bottom w:val="none" w:sz="0" w:space="0" w:color="auto"/>
        <w:right w:val="none" w:sz="0" w:space="0" w:color="auto"/>
      </w:divBdr>
    </w:div>
    <w:div w:id="1839273694">
      <w:bodyDiv w:val="1"/>
      <w:marLeft w:val="0"/>
      <w:marRight w:val="0"/>
      <w:marTop w:val="0"/>
      <w:marBottom w:val="0"/>
      <w:divBdr>
        <w:top w:val="none" w:sz="0" w:space="0" w:color="auto"/>
        <w:left w:val="none" w:sz="0" w:space="0" w:color="auto"/>
        <w:bottom w:val="none" w:sz="0" w:space="0" w:color="auto"/>
        <w:right w:val="none" w:sz="0" w:space="0" w:color="auto"/>
      </w:divBdr>
    </w:div>
    <w:div w:id="1958220148">
      <w:bodyDiv w:val="1"/>
      <w:marLeft w:val="0"/>
      <w:marRight w:val="0"/>
      <w:marTop w:val="0"/>
      <w:marBottom w:val="0"/>
      <w:divBdr>
        <w:top w:val="none" w:sz="0" w:space="0" w:color="auto"/>
        <w:left w:val="none" w:sz="0" w:space="0" w:color="auto"/>
        <w:bottom w:val="none" w:sz="0" w:space="0" w:color="auto"/>
        <w:right w:val="none" w:sz="0" w:space="0" w:color="auto"/>
      </w:divBdr>
    </w:div>
    <w:div w:id="2052225779">
      <w:bodyDiv w:val="1"/>
      <w:marLeft w:val="0"/>
      <w:marRight w:val="0"/>
      <w:marTop w:val="0"/>
      <w:marBottom w:val="0"/>
      <w:divBdr>
        <w:top w:val="none" w:sz="0" w:space="0" w:color="auto"/>
        <w:left w:val="none" w:sz="0" w:space="0" w:color="auto"/>
        <w:bottom w:val="none" w:sz="0" w:space="0" w:color="auto"/>
        <w:right w:val="none" w:sz="0" w:space="0" w:color="auto"/>
      </w:divBdr>
    </w:div>
    <w:div w:id="213709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consilium.europa.eu/media/45109/210720-euco-final-conclusions-en.pdf" TargetMode="External"/><Relationship Id="rId13" Type="http://schemas.openxmlformats.org/officeDocument/2006/relationships/hyperlink" Target="https://eur-lex.europa.eu/legal-content/EN/TXT/?uri=COM:2020:0409:FIN" TargetMode="External"/><Relationship Id="rId18" Type="http://schemas.openxmlformats.org/officeDocument/2006/relationships/hyperlink" Target="https://ec.europa.eu/eures/public/en/homepage" TargetMode="External"/><Relationship Id="rId3" Type="http://schemas.openxmlformats.org/officeDocument/2006/relationships/hyperlink" Target="https://euraxess.ec.europa.eu/" TargetMode="External"/><Relationship Id="rId21" Type="http://schemas.openxmlformats.org/officeDocument/2006/relationships/hyperlink" Target="https://www.epos-ip.org/" TargetMode="External"/><Relationship Id="rId7" Type="http://schemas.openxmlformats.org/officeDocument/2006/relationships/hyperlink" Target="https://unfccc.int/files/essential_background/convention/application/pdf/english_paris_agreement.pdf" TargetMode="External"/><Relationship Id="rId12" Type="http://schemas.openxmlformats.org/officeDocument/2006/relationships/hyperlink" Target="https://rio.jrc.ec.europa.eu/policy-support-facility" TargetMode="External"/><Relationship Id="rId17" Type="http://schemas.openxmlformats.org/officeDocument/2006/relationships/hyperlink" Target="https://europa.eu/europass/en" TargetMode="External"/><Relationship Id="rId2" Type="http://schemas.openxmlformats.org/officeDocument/2006/relationships/hyperlink" Target="https://euraxess.ec.europa.eu/euraxess/charter-code-researchers" TargetMode="External"/><Relationship Id="rId16" Type="http://schemas.openxmlformats.org/officeDocument/2006/relationships/hyperlink" Target="https://euraxess.ec.europa.eu" TargetMode="External"/><Relationship Id="rId20" Type="http://schemas.openxmlformats.org/officeDocument/2006/relationships/hyperlink" Target="https://europeanspallationsource.se/" TargetMode="External"/><Relationship Id="rId1" Type="http://schemas.openxmlformats.org/officeDocument/2006/relationships/hyperlink" Target="http://roadmap2018.esfri.eu/" TargetMode="External"/><Relationship Id="rId6" Type="http://schemas.openxmlformats.org/officeDocument/2006/relationships/hyperlink" Target="https://www.ipcc.ch/site/assets/uploads/sites/2/2019/06/SR15_Full_Report_Low_Res.pdf" TargetMode="External"/><Relationship Id="rId11" Type="http://schemas.openxmlformats.org/officeDocument/2006/relationships/hyperlink" Target="https://www.eib.org/attachments/efs/innovation_investment_in_cesee_en.pdf" TargetMode="External"/><Relationship Id="rId24" Type="http://schemas.openxmlformats.org/officeDocument/2006/relationships/hyperlink" Target="https://ec.europa.eu/info/publications/she-figures-2018_en" TargetMode="External"/><Relationship Id="rId5" Type="http://schemas.openxmlformats.org/officeDocument/2006/relationships/hyperlink" Target="https://ec.europa.eu/info/research-and-innovation/strategy/support-policy-making/support-national-research-and-innovation-policy-making/srip-report_en" TargetMode="External"/><Relationship Id="rId15" Type="http://schemas.openxmlformats.org/officeDocument/2006/relationships/hyperlink" Target="https://ec.europa.eu/info/research-and-innovation/strategy/support-policy-making/support-national-research-and-innovation-policy-making/srip-report_en" TargetMode="External"/><Relationship Id="rId23" Type="http://schemas.openxmlformats.org/officeDocument/2006/relationships/hyperlink" Target="https://www.esfri.eu/esfri-white-paper" TargetMode="External"/><Relationship Id="rId10" Type="http://schemas.openxmlformats.org/officeDocument/2006/relationships/hyperlink" Target="https://ec.europa.eu/info/publications/science-research-and-innovation-performance-eu-2020_en" TargetMode="External"/><Relationship Id="rId19" Type="http://schemas.openxmlformats.org/officeDocument/2006/relationships/hyperlink" Target="https://www.covid19dataportal.org/" TargetMode="External"/><Relationship Id="rId4" Type="http://schemas.openxmlformats.org/officeDocument/2006/relationships/hyperlink" Target="https://ec.europa.eu/research/openscience/index.cfm?pg=openaccess" TargetMode="External"/><Relationship Id="rId9" Type="http://schemas.openxmlformats.org/officeDocument/2006/relationships/hyperlink" Target="https://ec.europa.eu/info/horizon-europe-next-research-and-innovation-framework-programme/european-partnerships-horizon-europe_en" TargetMode="External"/><Relationship Id="rId14" Type="http://schemas.openxmlformats.org/officeDocument/2006/relationships/hyperlink" Target="https://cor.europa.eu/en/our-work/Documents/SEDEC/KEP-action-plan-2019-en.pdf" TargetMode="External"/><Relationship Id="rId22" Type="http://schemas.openxmlformats.org/officeDocument/2006/relationships/hyperlink" Target="http://www.europeansocialsurve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2BF00DA-CF9C-4494-AB77-47E74F9F9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8967</Words>
  <Characters>51113</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2020-09-29T17:50:00Z</dcterms:created>
  <dcterms:modified xsi:type="dcterms:W3CDTF">2021-08-23T06:21:00Z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Part">
    <vt:lpwstr>1</vt:lpwstr>
  </property>
  <property fmtid="{D5CDD505-2E9C-101B-9397-08002B2CF9AE}" pid="4" name="Total parts">
    <vt:lpwstr>1</vt:lpwstr>
  </property>
  <property fmtid="{D5CDD505-2E9C-101B-9397-08002B2CF9AE}" pid="5" name="DocStatus">
    <vt:lpwstr>Red</vt:lpwstr>
  </property>
  <property fmtid="{D5CDD505-2E9C-101B-9397-08002B2CF9AE}" pid="6" name="CPTemplateID">
    <vt:lpwstr>CP-014</vt:lpwstr>
  </property>
  <property fmtid="{D5CDD505-2E9C-101B-9397-08002B2CF9AE}" pid="7" name="Last edited using">
    <vt:lpwstr>LW 7.0, Build 20190717</vt:lpwstr>
  </property>
</Properties>
</file>